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37" w:rsidRDefault="00104237" w:rsidP="00C61EE2">
      <w:pPr>
        <w:spacing w:after="0" w:line="240" w:lineRule="auto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Efficacy</w:t>
      </w:r>
      <w:proofErr w:type="spellEnd"/>
      <w:r>
        <w:rPr>
          <w:b/>
          <w:bCs/>
          <w:sz w:val="28"/>
          <w:szCs w:val="28"/>
        </w:rPr>
        <w:t xml:space="preserve"> of Colchicine in Non-</w:t>
      </w:r>
      <w:proofErr w:type="spellStart"/>
      <w:r>
        <w:rPr>
          <w:b/>
          <w:bCs/>
          <w:sz w:val="28"/>
          <w:szCs w:val="28"/>
        </w:rPr>
        <w:t>Hospitalized</w:t>
      </w:r>
      <w:proofErr w:type="spellEnd"/>
      <w:r>
        <w:rPr>
          <w:b/>
          <w:bCs/>
          <w:sz w:val="28"/>
          <w:szCs w:val="28"/>
        </w:rPr>
        <w:t xml:space="preserve"> Patients </w:t>
      </w:r>
      <w:proofErr w:type="spellStart"/>
      <w:r>
        <w:rPr>
          <w:b/>
          <w:bCs/>
          <w:sz w:val="28"/>
          <w:szCs w:val="28"/>
        </w:rPr>
        <w:t>with</w:t>
      </w:r>
      <w:proofErr w:type="spellEnd"/>
      <w:r>
        <w:rPr>
          <w:b/>
          <w:bCs/>
          <w:sz w:val="28"/>
          <w:szCs w:val="28"/>
        </w:rPr>
        <w:t xml:space="preserve"> COVID-19</w:t>
      </w:r>
    </w:p>
    <w:p w:rsidR="00104237" w:rsidRPr="00927AAD" w:rsidRDefault="00104237" w:rsidP="00C61EE2">
      <w:pPr>
        <w:spacing w:after="0" w:line="240" w:lineRule="auto"/>
        <w:jc w:val="both"/>
      </w:pPr>
      <w:r w:rsidRPr="00927AAD">
        <w:t xml:space="preserve">JC Tardif, N </w:t>
      </w:r>
      <w:proofErr w:type="spellStart"/>
      <w:r w:rsidRPr="00927AAD">
        <w:t>Bouabdallaoui</w:t>
      </w:r>
      <w:proofErr w:type="spellEnd"/>
      <w:r w:rsidRPr="00927AAD">
        <w:t>, PL L’Allier et al.</w:t>
      </w:r>
    </w:p>
    <w:p w:rsidR="00104237" w:rsidRPr="00927AAD" w:rsidRDefault="00104237" w:rsidP="00104237">
      <w:pPr>
        <w:jc w:val="both"/>
        <w:rPr>
          <w:lang w:val="fr-FR"/>
        </w:rPr>
      </w:pPr>
      <w:proofErr w:type="spellStart"/>
      <w:r w:rsidRPr="00927AAD">
        <w:t>Posted</w:t>
      </w:r>
      <w:proofErr w:type="spellEnd"/>
      <w:r w:rsidRPr="00927AAD">
        <w:t xml:space="preserve"> on </w:t>
      </w:r>
      <w:proofErr w:type="spellStart"/>
      <w:r w:rsidRPr="00927AAD">
        <w:t>MedXriv</w:t>
      </w:r>
      <w:proofErr w:type="spellEnd"/>
      <w:r w:rsidRPr="00927AAD">
        <w:t xml:space="preserve"> </w:t>
      </w:r>
      <w:proofErr w:type="spellStart"/>
      <w:r w:rsidRPr="00927AAD">
        <w:t>January</w:t>
      </w:r>
      <w:proofErr w:type="spellEnd"/>
      <w:r w:rsidRPr="00927AAD">
        <w:t xml:space="preserve"> 27 2021.</w:t>
      </w:r>
    </w:p>
    <w:p w:rsidR="00104237" w:rsidRDefault="00104237" w:rsidP="008B0B21">
      <w:pPr>
        <w:spacing w:before="240" w:after="120"/>
        <w:jc w:val="both"/>
        <w:rPr>
          <w:lang w:val="fr-FR"/>
        </w:rPr>
      </w:pPr>
      <w:r>
        <w:rPr>
          <w:lang w:val="fr-FR"/>
        </w:rPr>
        <w:t>DESIGN DE L’ETUDE</w:t>
      </w:r>
    </w:p>
    <w:p w:rsidR="00F13111" w:rsidRDefault="00BC07BF" w:rsidP="00DF0815">
      <w:pPr>
        <w:jc w:val="both"/>
        <w:rPr>
          <w:lang w:val="fr-FR"/>
        </w:rPr>
      </w:pPr>
      <w:proofErr w:type="spellStart"/>
      <w:r>
        <w:rPr>
          <w:lang w:val="fr-FR"/>
        </w:rPr>
        <w:t>Etude</w:t>
      </w:r>
      <w:proofErr w:type="spellEnd"/>
      <w:r>
        <w:rPr>
          <w:lang w:val="fr-FR"/>
        </w:rPr>
        <w:t xml:space="preserve"> </w:t>
      </w:r>
      <w:r w:rsidR="00A14FCB">
        <w:rPr>
          <w:lang w:val="fr-FR"/>
        </w:rPr>
        <w:t xml:space="preserve">canadienne </w:t>
      </w:r>
      <w:r>
        <w:rPr>
          <w:lang w:val="fr-FR"/>
        </w:rPr>
        <w:t xml:space="preserve">contrôlée versus placebo, randomisée, en </w:t>
      </w:r>
      <w:r w:rsidR="00A14FCB">
        <w:rPr>
          <w:lang w:val="fr-FR"/>
        </w:rPr>
        <w:t>double</w:t>
      </w:r>
      <w:r>
        <w:rPr>
          <w:lang w:val="fr-FR"/>
        </w:rPr>
        <w:t xml:space="preserve"> aveugle</w:t>
      </w:r>
      <w:r w:rsidR="008418BE">
        <w:rPr>
          <w:lang w:val="fr-FR"/>
        </w:rPr>
        <w:t xml:space="preserve"> </w:t>
      </w:r>
      <w:r>
        <w:rPr>
          <w:lang w:val="fr-FR"/>
        </w:rPr>
        <w:t xml:space="preserve">et multicentrique évaluant l’efficacité </w:t>
      </w:r>
      <w:r w:rsidR="00112894">
        <w:rPr>
          <w:lang w:val="fr-FR"/>
        </w:rPr>
        <w:t xml:space="preserve">et la sécurité </w:t>
      </w:r>
      <w:r>
        <w:rPr>
          <w:lang w:val="fr-FR"/>
        </w:rPr>
        <w:t>d</w:t>
      </w:r>
      <w:r w:rsidR="00AA1BBF">
        <w:rPr>
          <w:lang w:val="fr-FR"/>
        </w:rPr>
        <w:t xml:space="preserve">’un traitement précoce par </w:t>
      </w:r>
      <w:r>
        <w:rPr>
          <w:lang w:val="fr-FR"/>
        </w:rPr>
        <w:t>colchicine</w:t>
      </w:r>
      <w:r w:rsidR="00112894">
        <w:rPr>
          <w:lang w:val="fr-FR"/>
        </w:rPr>
        <w:t xml:space="preserve"> chez </w:t>
      </w:r>
      <w:r w:rsidR="00A14FCB">
        <w:rPr>
          <w:lang w:val="fr-FR"/>
        </w:rPr>
        <w:t>4500</w:t>
      </w:r>
      <w:r w:rsidR="00112894">
        <w:rPr>
          <w:lang w:val="fr-FR"/>
        </w:rPr>
        <w:t xml:space="preserve"> pat</w:t>
      </w:r>
      <w:r w:rsidR="00A14FCB">
        <w:rPr>
          <w:lang w:val="fr-FR"/>
        </w:rPr>
        <w:t>ients covid-19 non hospitalisés et présentant au moins un facteur de risque de développer une forme sévère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289"/>
        <w:gridCol w:w="1541"/>
        <w:gridCol w:w="6379"/>
      </w:tblGrid>
      <w:tr w:rsidR="00AA1BBF" w:rsidRPr="00AA1BBF" w:rsidTr="00DF0815">
        <w:tc>
          <w:tcPr>
            <w:tcW w:w="1289" w:type="dxa"/>
          </w:tcPr>
          <w:p w:rsidR="00AA1BBF" w:rsidRPr="00AA1BBF" w:rsidRDefault="00AA1BBF" w:rsidP="00DF0815">
            <w:pPr>
              <w:spacing w:before="80"/>
              <w:rPr>
                <w:sz w:val="20"/>
                <w:szCs w:val="20"/>
                <w:lang w:val="fr-FR"/>
              </w:rPr>
            </w:pPr>
            <w:r w:rsidRPr="00AA1BBF">
              <w:rPr>
                <w:sz w:val="20"/>
                <w:szCs w:val="20"/>
                <w:lang w:val="fr-FR"/>
              </w:rPr>
              <w:t>Patients</w:t>
            </w:r>
          </w:p>
        </w:tc>
        <w:tc>
          <w:tcPr>
            <w:tcW w:w="1541" w:type="dxa"/>
            <w:tcBorders>
              <w:right w:val="nil"/>
            </w:tcBorders>
          </w:tcPr>
          <w:p w:rsidR="00AA1BBF" w:rsidRPr="00AA1BBF" w:rsidRDefault="00AA1BBF" w:rsidP="00DF0815">
            <w:pPr>
              <w:spacing w:before="80"/>
              <w:rPr>
                <w:sz w:val="20"/>
                <w:szCs w:val="20"/>
                <w:lang w:val="fr-FR"/>
              </w:rPr>
            </w:pPr>
            <w:r w:rsidRPr="00AA1BBF">
              <w:rPr>
                <w:sz w:val="20"/>
                <w:szCs w:val="20"/>
                <w:lang w:val="fr-FR"/>
              </w:rPr>
              <w:t xml:space="preserve">Sujets </w:t>
            </w:r>
            <w:r w:rsidRPr="00AA1BBF">
              <w:rPr>
                <w:rFonts w:cstheme="minorHAnsi"/>
                <w:sz w:val="20"/>
                <w:szCs w:val="20"/>
                <w:lang w:val="fr-FR"/>
              </w:rPr>
              <w:t xml:space="preserve">≥ </w:t>
            </w:r>
            <w:r w:rsidRPr="00AA1BBF">
              <w:rPr>
                <w:sz w:val="20"/>
                <w:szCs w:val="20"/>
                <w:lang w:val="fr-FR"/>
              </w:rPr>
              <w:t xml:space="preserve">40 ans </w:t>
            </w:r>
          </w:p>
        </w:tc>
        <w:tc>
          <w:tcPr>
            <w:tcW w:w="6379" w:type="dxa"/>
            <w:tcBorders>
              <w:left w:val="nil"/>
            </w:tcBorders>
          </w:tcPr>
          <w:p w:rsidR="00AA1BBF" w:rsidRPr="00AA1BBF" w:rsidRDefault="00DC41B3" w:rsidP="00DF0815">
            <w:pPr>
              <w:spacing w:before="8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- </w:t>
            </w:r>
            <w:r w:rsidR="00AA1BBF" w:rsidRPr="00AA1BBF">
              <w:rPr>
                <w:sz w:val="20"/>
                <w:szCs w:val="20"/>
                <w:lang w:val="fr-FR"/>
              </w:rPr>
              <w:t>Diagnostiqués récemment (&lt; 24h) covid-19</w:t>
            </w:r>
            <w:r w:rsidR="00A14FCB">
              <w:rPr>
                <w:sz w:val="20"/>
                <w:szCs w:val="20"/>
                <w:lang w:val="fr-FR"/>
              </w:rPr>
              <w:t xml:space="preserve"> (</w:t>
            </w:r>
            <w:r w:rsidR="00AA1BBF">
              <w:rPr>
                <w:sz w:val="20"/>
                <w:szCs w:val="20"/>
                <w:lang w:val="fr-FR"/>
              </w:rPr>
              <w:t xml:space="preserve">PCR ou </w:t>
            </w:r>
            <w:r>
              <w:rPr>
                <w:sz w:val="20"/>
                <w:szCs w:val="20"/>
                <w:lang w:val="fr-FR"/>
              </w:rPr>
              <w:t xml:space="preserve">suspicion </w:t>
            </w:r>
            <w:r w:rsidR="00AA1BBF" w:rsidRPr="00AA1BBF">
              <w:rPr>
                <w:sz w:val="20"/>
                <w:szCs w:val="20"/>
                <w:lang w:val="fr-FR"/>
              </w:rPr>
              <w:t>clinique</w:t>
            </w:r>
            <w:r w:rsidR="00A14FCB">
              <w:rPr>
                <w:sz w:val="20"/>
                <w:szCs w:val="20"/>
                <w:lang w:val="fr-FR"/>
              </w:rPr>
              <w:t>)</w:t>
            </w:r>
            <w:r w:rsidR="00AA1BBF">
              <w:rPr>
                <w:sz w:val="20"/>
                <w:szCs w:val="20"/>
                <w:lang w:val="fr-FR"/>
              </w:rPr>
              <w:t xml:space="preserve"> </w:t>
            </w:r>
          </w:p>
          <w:p w:rsidR="00AA1BBF" w:rsidRPr="00AA1BBF" w:rsidRDefault="00DC41B3" w:rsidP="00AA1BB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- </w:t>
            </w:r>
            <w:r w:rsidR="00AA1BBF" w:rsidRPr="00AA1BBF">
              <w:rPr>
                <w:sz w:val="20"/>
                <w:szCs w:val="20"/>
                <w:lang w:val="fr-FR"/>
              </w:rPr>
              <w:t xml:space="preserve">Non hospitalisés </w:t>
            </w:r>
          </w:p>
          <w:p w:rsidR="00AA1BBF" w:rsidRPr="00AA1BBF" w:rsidRDefault="00DC41B3" w:rsidP="00DF0815">
            <w:pPr>
              <w:spacing w:after="8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- </w:t>
            </w:r>
            <w:r w:rsidR="00AA1BBF" w:rsidRPr="00AA1BBF">
              <w:rPr>
                <w:sz w:val="20"/>
                <w:szCs w:val="20"/>
                <w:lang w:val="fr-FR"/>
              </w:rPr>
              <w:t xml:space="preserve">Avec </w:t>
            </w:r>
            <w:r w:rsidR="00AA1BBF" w:rsidRPr="00AA1BBF">
              <w:rPr>
                <w:rFonts w:cstheme="minorHAnsi"/>
                <w:sz w:val="20"/>
                <w:szCs w:val="20"/>
                <w:lang w:val="fr-FR"/>
              </w:rPr>
              <w:t xml:space="preserve">≥ </w:t>
            </w:r>
            <w:r w:rsidR="00AA1BBF" w:rsidRPr="00AA1BBF">
              <w:rPr>
                <w:sz w:val="20"/>
                <w:szCs w:val="20"/>
                <w:lang w:val="fr-FR"/>
              </w:rPr>
              <w:t xml:space="preserve">1 facteur de risque de complication : âge </w:t>
            </w:r>
            <w:r w:rsidR="00AA1BBF" w:rsidRPr="00AA1BBF">
              <w:rPr>
                <w:rFonts w:cstheme="minorHAnsi"/>
                <w:sz w:val="20"/>
                <w:szCs w:val="20"/>
                <w:lang w:val="fr-FR"/>
              </w:rPr>
              <w:t xml:space="preserve">≥ </w:t>
            </w:r>
            <w:r w:rsidR="00AA1BBF" w:rsidRPr="00AA1BBF">
              <w:rPr>
                <w:sz w:val="20"/>
                <w:szCs w:val="20"/>
                <w:lang w:val="fr-FR"/>
              </w:rPr>
              <w:t xml:space="preserve">70 ans, diabète, obésité, HTA non contrôlée (TAS </w:t>
            </w:r>
            <w:r w:rsidR="00AA1BBF" w:rsidRPr="00AA1BBF">
              <w:rPr>
                <w:rFonts w:cstheme="minorHAnsi"/>
                <w:sz w:val="20"/>
                <w:szCs w:val="20"/>
                <w:lang w:val="fr-FR"/>
              </w:rPr>
              <w:t>≥</w:t>
            </w:r>
            <w:r w:rsidR="00AA1BBF" w:rsidRPr="00AA1BBF">
              <w:rPr>
                <w:sz w:val="20"/>
                <w:szCs w:val="20"/>
                <w:lang w:val="fr-FR"/>
              </w:rPr>
              <w:t xml:space="preserve"> 150 mm Hg), insuffisance respiratoire, cardiaque ou coronaire, dyspnée, …</w:t>
            </w:r>
          </w:p>
        </w:tc>
      </w:tr>
      <w:tr w:rsidR="00112894" w:rsidRPr="00AA1BBF" w:rsidTr="00DF0815">
        <w:tc>
          <w:tcPr>
            <w:tcW w:w="1289" w:type="dxa"/>
          </w:tcPr>
          <w:p w:rsidR="00112894" w:rsidRPr="00AA1BBF" w:rsidRDefault="00AA1BBF" w:rsidP="00DF0815">
            <w:pPr>
              <w:spacing w:before="80" w:after="8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Intervention</w:t>
            </w:r>
          </w:p>
        </w:tc>
        <w:tc>
          <w:tcPr>
            <w:tcW w:w="7920" w:type="dxa"/>
            <w:gridSpan w:val="2"/>
          </w:tcPr>
          <w:p w:rsidR="00112894" w:rsidRPr="00AA1BBF" w:rsidRDefault="00AA1BBF" w:rsidP="00A14FCB">
            <w:pPr>
              <w:spacing w:before="80" w:after="8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Colchicine 30 jours, 2 fois 0.5 mg </w:t>
            </w:r>
            <w:r w:rsidR="00DF0815">
              <w:rPr>
                <w:sz w:val="20"/>
                <w:szCs w:val="20"/>
                <w:lang w:val="fr-FR"/>
              </w:rPr>
              <w:t xml:space="preserve">/j </w:t>
            </w:r>
            <w:r>
              <w:rPr>
                <w:sz w:val="20"/>
                <w:szCs w:val="20"/>
                <w:lang w:val="fr-FR"/>
              </w:rPr>
              <w:t xml:space="preserve">les trois premiers jours et 1 fois 0.5 mg </w:t>
            </w:r>
            <w:r w:rsidR="00DF0815">
              <w:rPr>
                <w:sz w:val="20"/>
                <w:szCs w:val="20"/>
                <w:lang w:val="fr-FR"/>
              </w:rPr>
              <w:t xml:space="preserve">/j </w:t>
            </w:r>
            <w:r>
              <w:rPr>
                <w:sz w:val="20"/>
                <w:szCs w:val="20"/>
                <w:lang w:val="fr-FR"/>
              </w:rPr>
              <w:t>ensuite</w:t>
            </w:r>
          </w:p>
        </w:tc>
      </w:tr>
      <w:tr w:rsidR="00112894" w:rsidRPr="00AA1BBF" w:rsidTr="00DF0815">
        <w:tc>
          <w:tcPr>
            <w:tcW w:w="1289" w:type="dxa"/>
            <w:tcBorders>
              <w:bottom w:val="single" w:sz="4" w:space="0" w:color="auto"/>
            </w:tcBorders>
          </w:tcPr>
          <w:p w:rsidR="00112894" w:rsidRPr="00AA1BBF" w:rsidRDefault="00AA1BBF" w:rsidP="00DF0815">
            <w:pPr>
              <w:spacing w:before="80" w:after="8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Comparaison</w:t>
            </w:r>
          </w:p>
        </w:tc>
        <w:tc>
          <w:tcPr>
            <w:tcW w:w="7920" w:type="dxa"/>
            <w:gridSpan w:val="2"/>
            <w:tcBorders>
              <w:bottom w:val="single" w:sz="4" w:space="0" w:color="auto"/>
            </w:tcBorders>
          </w:tcPr>
          <w:p w:rsidR="00112894" w:rsidRPr="00AA1BBF" w:rsidRDefault="00AA1BBF" w:rsidP="00DF0815">
            <w:pPr>
              <w:spacing w:before="80" w:after="8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Placebo</w:t>
            </w:r>
          </w:p>
        </w:tc>
      </w:tr>
      <w:tr w:rsidR="00DC41B3" w:rsidRPr="00AA1BBF" w:rsidTr="00DF0815">
        <w:tc>
          <w:tcPr>
            <w:tcW w:w="1289" w:type="dxa"/>
            <w:tcBorders>
              <w:bottom w:val="nil"/>
            </w:tcBorders>
          </w:tcPr>
          <w:p w:rsidR="00DC41B3" w:rsidRPr="00AA1BBF" w:rsidRDefault="00DC41B3" w:rsidP="00DF0815">
            <w:pPr>
              <w:spacing w:before="80" w:after="80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Outcome</w:t>
            </w:r>
            <w:proofErr w:type="spellEnd"/>
          </w:p>
        </w:tc>
        <w:tc>
          <w:tcPr>
            <w:tcW w:w="1541" w:type="dxa"/>
            <w:tcBorders>
              <w:bottom w:val="nil"/>
              <w:right w:val="nil"/>
            </w:tcBorders>
          </w:tcPr>
          <w:p w:rsidR="00DC41B3" w:rsidRPr="00AA1BBF" w:rsidRDefault="00DC41B3" w:rsidP="00DF0815">
            <w:pPr>
              <w:spacing w:before="80" w:after="8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Primaire</w:t>
            </w:r>
          </w:p>
        </w:tc>
        <w:tc>
          <w:tcPr>
            <w:tcW w:w="6379" w:type="dxa"/>
            <w:tcBorders>
              <w:left w:val="nil"/>
              <w:bottom w:val="nil"/>
            </w:tcBorders>
          </w:tcPr>
          <w:p w:rsidR="00DC41B3" w:rsidRPr="00AA1BBF" w:rsidRDefault="00DC41B3" w:rsidP="00DF0815">
            <w:pPr>
              <w:spacing w:before="80" w:after="8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Hospitali</w:t>
            </w:r>
            <w:r w:rsidR="00DF0815">
              <w:rPr>
                <w:sz w:val="20"/>
                <w:szCs w:val="20"/>
                <w:lang w:val="fr-FR"/>
              </w:rPr>
              <w:t xml:space="preserve">sation ou décès </w:t>
            </w:r>
          </w:p>
        </w:tc>
      </w:tr>
      <w:tr w:rsidR="00DC41B3" w:rsidRPr="00AA1BBF" w:rsidTr="00DF0815">
        <w:tc>
          <w:tcPr>
            <w:tcW w:w="1289" w:type="dxa"/>
            <w:tcBorders>
              <w:top w:val="nil"/>
              <w:bottom w:val="nil"/>
            </w:tcBorders>
          </w:tcPr>
          <w:p w:rsidR="00DC41B3" w:rsidRDefault="00DC41B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DC41B3" w:rsidRDefault="00DC41B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Secondaires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DC41B3" w:rsidRPr="00AA1BBF" w:rsidRDefault="00DC41B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Hospitalisation</w:t>
            </w:r>
          </w:p>
        </w:tc>
      </w:tr>
      <w:tr w:rsidR="00DC41B3" w:rsidRPr="00AA1BBF" w:rsidTr="00DF0815">
        <w:tc>
          <w:tcPr>
            <w:tcW w:w="1289" w:type="dxa"/>
            <w:tcBorders>
              <w:top w:val="nil"/>
              <w:bottom w:val="nil"/>
            </w:tcBorders>
          </w:tcPr>
          <w:p w:rsidR="00DC41B3" w:rsidRDefault="00DC41B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DC41B3" w:rsidRDefault="00DC41B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DC41B3" w:rsidRPr="00AA1BBF" w:rsidRDefault="00DF08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Décès </w:t>
            </w:r>
          </w:p>
        </w:tc>
      </w:tr>
      <w:tr w:rsidR="00DC41B3" w:rsidRPr="00AA1BBF" w:rsidTr="00DF0815">
        <w:tc>
          <w:tcPr>
            <w:tcW w:w="1289" w:type="dxa"/>
            <w:tcBorders>
              <w:top w:val="nil"/>
              <w:bottom w:val="nil"/>
            </w:tcBorders>
          </w:tcPr>
          <w:p w:rsidR="00DC41B3" w:rsidRDefault="00DC41B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DC41B3" w:rsidRDefault="00DC41B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DC41B3" w:rsidRPr="00AA1BBF" w:rsidRDefault="00DF08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Intubation </w:t>
            </w:r>
          </w:p>
        </w:tc>
      </w:tr>
      <w:tr w:rsidR="00DC41B3" w:rsidRPr="00AA1BBF" w:rsidTr="00DF0815">
        <w:tc>
          <w:tcPr>
            <w:tcW w:w="1289" w:type="dxa"/>
            <w:tcBorders>
              <w:top w:val="nil"/>
            </w:tcBorders>
          </w:tcPr>
          <w:p w:rsidR="00DC41B3" w:rsidRDefault="00DC41B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41" w:type="dxa"/>
            <w:tcBorders>
              <w:top w:val="nil"/>
              <w:right w:val="nil"/>
            </w:tcBorders>
          </w:tcPr>
          <w:p w:rsidR="00DC41B3" w:rsidRDefault="00DC41B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DC41B3" w:rsidRDefault="00DC41B3" w:rsidP="00DF0815">
            <w:pPr>
              <w:spacing w:after="8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Effets adverses</w:t>
            </w:r>
          </w:p>
        </w:tc>
      </w:tr>
    </w:tbl>
    <w:p w:rsidR="00112894" w:rsidRDefault="00112894">
      <w:pPr>
        <w:rPr>
          <w:lang w:val="fr-FR"/>
        </w:rPr>
      </w:pPr>
    </w:p>
    <w:p w:rsidR="009208E1" w:rsidRDefault="009208E1">
      <w:pPr>
        <w:rPr>
          <w:lang w:val="fr-FR"/>
        </w:rPr>
      </w:pPr>
      <w:r>
        <w:rPr>
          <w:lang w:val="fr-FR"/>
        </w:rPr>
        <w:t>R</w:t>
      </w:r>
      <w:r w:rsidR="00104237">
        <w:rPr>
          <w:lang w:val="fr-FR"/>
        </w:rPr>
        <w:t>ESULTATS</w:t>
      </w: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281"/>
        <w:gridCol w:w="1276"/>
        <w:gridCol w:w="1701"/>
        <w:gridCol w:w="992"/>
      </w:tblGrid>
      <w:tr w:rsidR="00C95C9B" w:rsidRPr="008E79DE" w:rsidTr="00C61EE2">
        <w:trPr>
          <w:trHeight w:val="372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8E79DE" w:rsidRPr="008E79DE" w:rsidRDefault="008E79DE" w:rsidP="00A73539">
            <w:pPr>
              <w:pStyle w:val="Default"/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79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Clinical</w:t>
            </w:r>
            <w:proofErr w:type="spellEnd"/>
            <w:r w:rsidRPr="008E79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79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Outcome</w:t>
            </w:r>
            <w:proofErr w:type="spellEnd"/>
            <w:r w:rsidRPr="008E79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8E79DE" w:rsidRPr="008E79DE" w:rsidRDefault="008E79DE" w:rsidP="00A73539">
            <w:pPr>
              <w:pStyle w:val="Default"/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79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Colchicine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79DE" w:rsidRPr="008E79DE" w:rsidRDefault="008E79DE" w:rsidP="00A73539">
            <w:pPr>
              <w:pStyle w:val="Default"/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79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Placebo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79DE" w:rsidRPr="008E79DE" w:rsidRDefault="008E79DE" w:rsidP="00A73539">
            <w:pPr>
              <w:pStyle w:val="Default"/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79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  <w:r w:rsidR="00A735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  <w:r w:rsidRPr="008E79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79DE" w:rsidRPr="008E79DE" w:rsidRDefault="008E79DE" w:rsidP="00A73539">
            <w:pPr>
              <w:pStyle w:val="Default"/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79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 Value</w:t>
            </w:r>
          </w:p>
        </w:tc>
      </w:tr>
      <w:tr w:rsidR="00240428" w:rsidRPr="008E79DE" w:rsidTr="00C61EE2">
        <w:trPr>
          <w:trHeight w:val="161"/>
        </w:trPr>
        <w:tc>
          <w:tcPr>
            <w:tcW w:w="4106" w:type="dxa"/>
            <w:tcBorders>
              <w:top w:val="single" w:sz="4" w:space="0" w:color="auto"/>
            </w:tcBorders>
          </w:tcPr>
          <w:p w:rsidR="00C95C9B" w:rsidRPr="001000C1" w:rsidRDefault="00C95C9B" w:rsidP="00C95C9B">
            <w:pPr>
              <w:pStyle w:val="Default"/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00C1">
              <w:rPr>
                <w:rFonts w:asciiTheme="minorHAnsi" w:hAnsiTheme="minorHAnsi" w:cstheme="minorHAnsi"/>
                <w:b/>
                <w:sz w:val="20"/>
                <w:szCs w:val="20"/>
              </w:rPr>
              <w:t>ITT population (n= 4488)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C95C9B" w:rsidRPr="001000C1" w:rsidRDefault="00C95C9B" w:rsidP="00C95C9B">
            <w:pPr>
              <w:pStyle w:val="Default"/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00C1">
              <w:rPr>
                <w:rFonts w:asciiTheme="minorHAnsi" w:hAnsiTheme="minorHAnsi" w:cstheme="minorHAnsi"/>
                <w:b/>
                <w:sz w:val="20"/>
                <w:szCs w:val="20"/>
              </w:rPr>
              <w:t>(n=2235)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5C9B" w:rsidRPr="001000C1" w:rsidRDefault="00C95C9B" w:rsidP="00C95C9B">
            <w:pPr>
              <w:pStyle w:val="Default"/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00C1">
              <w:rPr>
                <w:rFonts w:asciiTheme="minorHAnsi" w:hAnsiTheme="minorHAnsi" w:cstheme="minorHAnsi"/>
                <w:b/>
                <w:sz w:val="20"/>
                <w:szCs w:val="20"/>
              </w:rPr>
              <w:t>(n=2253)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5C9B" w:rsidRPr="001000C1" w:rsidRDefault="00C95C9B" w:rsidP="00A7353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5C9B" w:rsidRPr="001000C1" w:rsidRDefault="00C95C9B" w:rsidP="00A7353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95C9B" w:rsidRPr="008E79DE" w:rsidTr="00C61EE2">
        <w:trPr>
          <w:trHeight w:val="161"/>
        </w:trPr>
        <w:tc>
          <w:tcPr>
            <w:tcW w:w="4106" w:type="dxa"/>
          </w:tcPr>
          <w:p w:rsidR="008E79DE" w:rsidRPr="008E79DE" w:rsidRDefault="00C95C9B" w:rsidP="0024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C95C9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ary</w:t>
            </w:r>
            <w:r w:rsidR="008E79DE" w:rsidRPr="008E79DE">
              <w:rPr>
                <w:rFonts w:asciiTheme="minorHAnsi" w:hAnsiTheme="minorHAnsi" w:cstheme="minorHAnsi"/>
                <w:sz w:val="20"/>
                <w:szCs w:val="20"/>
              </w:rPr>
              <w:t xml:space="preserve"> composite </w:t>
            </w:r>
            <w:proofErr w:type="spellStart"/>
            <w:r w:rsidR="008E79DE" w:rsidRPr="008E79DE">
              <w:rPr>
                <w:rFonts w:asciiTheme="minorHAnsi" w:hAnsiTheme="minorHAnsi" w:cstheme="minorHAnsi"/>
                <w:sz w:val="20"/>
                <w:szCs w:val="20"/>
              </w:rPr>
              <w:t>endpoint</w:t>
            </w:r>
            <w:proofErr w:type="spellEnd"/>
            <w:r w:rsidR="008E79DE" w:rsidRPr="008E79DE">
              <w:rPr>
                <w:rFonts w:asciiTheme="minorHAnsi" w:hAnsiTheme="minorHAnsi" w:cstheme="minorHAnsi"/>
                <w:sz w:val="20"/>
                <w:szCs w:val="20"/>
              </w:rPr>
              <w:t xml:space="preserve"> - n(%) </w:t>
            </w:r>
          </w:p>
        </w:tc>
        <w:tc>
          <w:tcPr>
            <w:tcW w:w="1281" w:type="dxa"/>
          </w:tcPr>
          <w:p w:rsidR="008E79DE" w:rsidRPr="008E79DE" w:rsidRDefault="008E79DE" w:rsidP="004020C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79DE">
              <w:rPr>
                <w:rFonts w:asciiTheme="minorHAnsi" w:hAnsiTheme="minorHAnsi" w:cstheme="minorHAnsi"/>
                <w:sz w:val="20"/>
                <w:szCs w:val="20"/>
              </w:rPr>
              <w:t>104 (4.7)</w:t>
            </w:r>
          </w:p>
        </w:tc>
        <w:tc>
          <w:tcPr>
            <w:tcW w:w="1276" w:type="dxa"/>
          </w:tcPr>
          <w:p w:rsidR="008E79DE" w:rsidRPr="008E79DE" w:rsidRDefault="008E79DE" w:rsidP="004020C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79DE">
              <w:rPr>
                <w:rFonts w:asciiTheme="minorHAnsi" w:hAnsiTheme="minorHAnsi" w:cstheme="minorHAnsi"/>
                <w:sz w:val="20"/>
                <w:szCs w:val="20"/>
              </w:rPr>
              <w:t>131 (5.8)</w:t>
            </w:r>
          </w:p>
        </w:tc>
        <w:tc>
          <w:tcPr>
            <w:tcW w:w="1701" w:type="dxa"/>
          </w:tcPr>
          <w:p w:rsidR="008E79DE" w:rsidRPr="008E79DE" w:rsidRDefault="008E79DE" w:rsidP="00A7353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79DE">
              <w:rPr>
                <w:rFonts w:asciiTheme="minorHAnsi" w:hAnsiTheme="minorHAnsi" w:cstheme="minorHAnsi"/>
                <w:sz w:val="20"/>
                <w:szCs w:val="20"/>
              </w:rPr>
              <w:t>0.79 (0.61-1.03)</w:t>
            </w:r>
          </w:p>
        </w:tc>
        <w:tc>
          <w:tcPr>
            <w:tcW w:w="992" w:type="dxa"/>
          </w:tcPr>
          <w:p w:rsidR="008E79DE" w:rsidRPr="008E79DE" w:rsidRDefault="008E79DE" w:rsidP="003C7E7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79DE">
              <w:rPr>
                <w:rFonts w:asciiTheme="minorHAnsi" w:hAnsiTheme="minorHAnsi" w:cstheme="minorHAnsi"/>
                <w:sz w:val="20"/>
                <w:szCs w:val="20"/>
              </w:rPr>
              <w:t>0.08</w:t>
            </w:r>
          </w:p>
        </w:tc>
      </w:tr>
      <w:tr w:rsidR="00C95C9B" w:rsidRPr="008E79DE" w:rsidTr="00C61EE2">
        <w:trPr>
          <w:trHeight w:val="368"/>
        </w:trPr>
        <w:tc>
          <w:tcPr>
            <w:tcW w:w="4106" w:type="dxa"/>
          </w:tcPr>
          <w:p w:rsidR="008E79DE" w:rsidRPr="008E79DE" w:rsidRDefault="008E79D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E79DE">
              <w:rPr>
                <w:rFonts w:asciiTheme="minorHAnsi" w:hAnsiTheme="minorHAnsi" w:cstheme="minorHAnsi"/>
                <w:sz w:val="20"/>
                <w:szCs w:val="20"/>
              </w:rPr>
              <w:t xml:space="preserve">Components of </w:t>
            </w:r>
            <w:r w:rsidR="00C95C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95C9B" w:rsidRPr="00C95C9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a</w:t>
            </w:r>
            <w:r w:rsidRPr="00C95C9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ry</w:t>
            </w:r>
            <w:r w:rsidRPr="008E79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E79DE">
              <w:rPr>
                <w:rFonts w:asciiTheme="minorHAnsi" w:hAnsiTheme="minorHAnsi" w:cstheme="minorHAnsi"/>
                <w:sz w:val="20"/>
                <w:szCs w:val="20"/>
              </w:rPr>
              <w:t>endpoint</w:t>
            </w:r>
            <w:proofErr w:type="spellEnd"/>
            <w:r w:rsidRPr="008E79D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8E79DE" w:rsidRPr="008E79DE" w:rsidRDefault="00A73539" w:rsidP="00A7353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404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E79DE" w:rsidRPr="008E79DE">
              <w:rPr>
                <w:rFonts w:asciiTheme="minorHAnsi" w:hAnsiTheme="minorHAnsi" w:cstheme="minorHAnsi"/>
                <w:sz w:val="20"/>
                <w:szCs w:val="20"/>
              </w:rPr>
              <w:t>Death</w:t>
            </w:r>
            <w:proofErr w:type="spellEnd"/>
            <w:r w:rsidR="008E79DE" w:rsidRPr="008E79DE">
              <w:rPr>
                <w:rFonts w:asciiTheme="minorHAnsi" w:hAnsiTheme="minorHAnsi" w:cstheme="minorHAnsi"/>
                <w:sz w:val="20"/>
                <w:szCs w:val="20"/>
              </w:rPr>
              <w:t xml:space="preserve"> - n(%) </w:t>
            </w:r>
          </w:p>
        </w:tc>
        <w:tc>
          <w:tcPr>
            <w:tcW w:w="1281" w:type="dxa"/>
          </w:tcPr>
          <w:p w:rsidR="00A73539" w:rsidRDefault="00A73539" w:rsidP="00A7353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79DE" w:rsidRPr="008E79DE" w:rsidRDefault="004020C0" w:rsidP="00A7353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(0.2</w:t>
            </w:r>
            <w:r w:rsidR="008E79DE" w:rsidRPr="008E79D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73539" w:rsidRDefault="00A73539" w:rsidP="00A7353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79DE" w:rsidRPr="008E79DE" w:rsidRDefault="004020C0" w:rsidP="00A7353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 (0.4</w:t>
            </w:r>
            <w:r w:rsidR="008E79DE" w:rsidRPr="008E79D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73539" w:rsidRDefault="00A73539" w:rsidP="00A7353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79DE" w:rsidRPr="008E79DE" w:rsidRDefault="008E79DE" w:rsidP="00A7353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79DE">
              <w:rPr>
                <w:rFonts w:asciiTheme="minorHAnsi" w:hAnsiTheme="minorHAnsi" w:cstheme="minorHAnsi"/>
                <w:sz w:val="20"/>
                <w:szCs w:val="20"/>
              </w:rPr>
              <w:t>0.56 (0.19-1.67)</w:t>
            </w:r>
          </w:p>
        </w:tc>
        <w:tc>
          <w:tcPr>
            <w:tcW w:w="992" w:type="dxa"/>
          </w:tcPr>
          <w:p w:rsidR="008E79DE" w:rsidRPr="008E79DE" w:rsidRDefault="008E79DE" w:rsidP="00A7353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5C9B" w:rsidRPr="008E79DE" w:rsidTr="00C61EE2">
        <w:trPr>
          <w:trHeight w:val="161"/>
        </w:trPr>
        <w:tc>
          <w:tcPr>
            <w:tcW w:w="4106" w:type="dxa"/>
          </w:tcPr>
          <w:p w:rsidR="00A73539" w:rsidRPr="008E79DE" w:rsidRDefault="00A73539" w:rsidP="0024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000C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404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000C1">
              <w:rPr>
                <w:rFonts w:asciiTheme="minorHAnsi" w:hAnsiTheme="minorHAnsi" w:cstheme="minorHAnsi"/>
                <w:sz w:val="20"/>
                <w:szCs w:val="20"/>
              </w:rPr>
              <w:t>Hospitalization</w:t>
            </w:r>
            <w:proofErr w:type="spellEnd"/>
            <w:r w:rsidRPr="001000C1">
              <w:rPr>
                <w:rFonts w:asciiTheme="minorHAnsi" w:hAnsiTheme="minorHAnsi" w:cstheme="minorHAnsi"/>
                <w:sz w:val="20"/>
                <w:szCs w:val="20"/>
              </w:rPr>
              <w:t xml:space="preserve"> for COVID-19 - n</w:t>
            </w:r>
            <w:r w:rsidRPr="008E79DE">
              <w:rPr>
                <w:rFonts w:asciiTheme="minorHAnsi" w:hAnsiTheme="minorHAnsi" w:cstheme="minorHAnsi"/>
                <w:sz w:val="20"/>
                <w:szCs w:val="20"/>
              </w:rPr>
              <w:t xml:space="preserve">(%) </w:t>
            </w:r>
          </w:p>
        </w:tc>
        <w:tc>
          <w:tcPr>
            <w:tcW w:w="1281" w:type="dxa"/>
          </w:tcPr>
          <w:p w:rsidR="00A73539" w:rsidRPr="008E79DE" w:rsidRDefault="00A73539" w:rsidP="004020C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79DE">
              <w:rPr>
                <w:rFonts w:asciiTheme="minorHAnsi" w:hAnsiTheme="minorHAnsi" w:cstheme="minorHAnsi"/>
                <w:sz w:val="20"/>
                <w:szCs w:val="20"/>
              </w:rPr>
              <w:t>101 (4.5)</w:t>
            </w:r>
          </w:p>
        </w:tc>
        <w:tc>
          <w:tcPr>
            <w:tcW w:w="1276" w:type="dxa"/>
          </w:tcPr>
          <w:p w:rsidR="00A73539" w:rsidRPr="008E79DE" w:rsidRDefault="00A73539" w:rsidP="004020C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79DE">
              <w:rPr>
                <w:rFonts w:asciiTheme="minorHAnsi" w:hAnsiTheme="minorHAnsi" w:cstheme="minorHAnsi"/>
                <w:sz w:val="20"/>
                <w:szCs w:val="20"/>
              </w:rPr>
              <w:t>128 (5.7)</w:t>
            </w:r>
          </w:p>
        </w:tc>
        <w:tc>
          <w:tcPr>
            <w:tcW w:w="1701" w:type="dxa"/>
          </w:tcPr>
          <w:p w:rsidR="00A73539" w:rsidRPr="008E79DE" w:rsidRDefault="00A73539" w:rsidP="00A7353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79DE">
              <w:rPr>
                <w:rFonts w:asciiTheme="minorHAnsi" w:hAnsiTheme="minorHAnsi" w:cstheme="minorHAnsi"/>
                <w:sz w:val="20"/>
                <w:szCs w:val="20"/>
              </w:rPr>
              <w:t>0.79 (0.60-1.03)</w:t>
            </w:r>
          </w:p>
        </w:tc>
        <w:tc>
          <w:tcPr>
            <w:tcW w:w="992" w:type="dxa"/>
          </w:tcPr>
          <w:p w:rsidR="00A73539" w:rsidRPr="008E79DE" w:rsidRDefault="00A73539" w:rsidP="00A7353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0428" w:rsidRPr="008E79DE" w:rsidTr="00C61EE2">
        <w:trPr>
          <w:trHeight w:val="161"/>
        </w:trPr>
        <w:tc>
          <w:tcPr>
            <w:tcW w:w="4106" w:type="dxa"/>
          </w:tcPr>
          <w:p w:rsidR="00C95C9B" w:rsidRPr="008E79DE" w:rsidRDefault="00C95C9B" w:rsidP="00C95C9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95C9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ary</w:t>
            </w:r>
            <w:r w:rsidRPr="008E79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E79DE">
              <w:rPr>
                <w:rFonts w:asciiTheme="minorHAnsi" w:hAnsiTheme="minorHAnsi" w:cstheme="minorHAnsi"/>
                <w:sz w:val="20"/>
                <w:szCs w:val="20"/>
              </w:rPr>
              <w:t>endpoint</w:t>
            </w:r>
            <w:proofErr w:type="spellEnd"/>
            <w:r w:rsidRPr="008E79D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1281" w:type="dxa"/>
          </w:tcPr>
          <w:p w:rsidR="00C95C9B" w:rsidRPr="008E79DE" w:rsidRDefault="00C95C9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9B" w:rsidRPr="008E79DE" w:rsidRDefault="00C95C9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5C9B" w:rsidRPr="008E79DE" w:rsidRDefault="00C95C9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C9B" w:rsidRPr="008E79DE" w:rsidRDefault="00C95C9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5C9B" w:rsidRPr="008E79DE" w:rsidTr="00C61EE2">
        <w:trPr>
          <w:trHeight w:val="310"/>
        </w:trPr>
        <w:tc>
          <w:tcPr>
            <w:tcW w:w="4106" w:type="dxa"/>
            <w:tcBorders>
              <w:bottom w:val="single" w:sz="4" w:space="0" w:color="auto"/>
            </w:tcBorders>
          </w:tcPr>
          <w:p w:rsidR="008E79DE" w:rsidRPr="008E79DE" w:rsidRDefault="00A73539" w:rsidP="0024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404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E79DE" w:rsidRPr="008E79DE">
              <w:rPr>
                <w:rFonts w:asciiTheme="minorHAnsi" w:hAnsiTheme="minorHAnsi" w:cstheme="minorHAnsi"/>
                <w:sz w:val="20"/>
                <w:szCs w:val="20"/>
              </w:rPr>
              <w:t>Mechanical</w:t>
            </w:r>
            <w:proofErr w:type="spellEnd"/>
            <w:r w:rsidR="008E79DE" w:rsidRPr="008E79DE">
              <w:rPr>
                <w:rFonts w:asciiTheme="minorHAnsi" w:hAnsiTheme="minorHAnsi" w:cstheme="minorHAnsi"/>
                <w:sz w:val="20"/>
                <w:szCs w:val="20"/>
              </w:rPr>
              <w:t xml:space="preserve"> ventilation - n(%)  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8E79DE" w:rsidRPr="008E79DE" w:rsidRDefault="004020C0" w:rsidP="001000C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 (0.5</w:t>
            </w:r>
            <w:r w:rsidR="008E79DE" w:rsidRPr="008E79D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79DE" w:rsidRPr="008E79DE" w:rsidRDefault="004020C0" w:rsidP="001000C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 (0.9</w:t>
            </w:r>
            <w:r w:rsidR="008E79DE" w:rsidRPr="008E79D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79DE" w:rsidRPr="008E79DE" w:rsidRDefault="008E79DE" w:rsidP="001000C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79DE">
              <w:rPr>
                <w:rFonts w:asciiTheme="minorHAnsi" w:hAnsiTheme="minorHAnsi" w:cstheme="minorHAnsi"/>
                <w:sz w:val="20"/>
                <w:szCs w:val="20"/>
              </w:rPr>
              <w:t>0.53 (0.25-1.09)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79DE" w:rsidRPr="008E79DE" w:rsidRDefault="008E79DE" w:rsidP="00A7353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5C9B" w:rsidRPr="008E79DE" w:rsidTr="00C61EE2">
        <w:trPr>
          <w:trHeight w:val="290"/>
        </w:trPr>
        <w:tc>
          <w:tcPr>
            <w:tcW w:w="4106" w:type="dxa"/>
            <w:tcBorders>
              <w:top w:val="single" w:sz="4" w:space="0" w:color="auto"/>
            </w:tcBorders>
          </w:tcPr>
          <w:p w:rsidR="00A73539" w:rsidRPr="001000C1" w:rsidRDefault="004020C0" w:rsidP="00C95C9B">
            <w:pPr>
              <w:pStyle w:val="Default"/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00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Patients </w:t>
            </w:r>
            <w:proofErr w:type="spellStart"/>
            <w:r w:rsidRPr="001000C1">
              <w:rPr>
                <w:rFonts w:asciiTheme="minorHAnsi" w:hAnsiTheme="minorHAnsi" w:cstheme="minorHAnsi"/>
                <w:b/>
                <w:sz w:val="20"/>
                <w:szCs w:val="20"/>
              </w:rPr>
              <w:t>with</w:t>
            </w:r>
            <w:proofErr w:type="spellEnd"/>
            <w:r w:rsidRPr="001000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PCR-</w:t>
            </w:r>
            <w:proofErr w:type="spellStart"/>
            <w:r w:rsidRPr="001000C1">
              <w:rPr>
                <w:rFonts w:asciiTheme="minorHAnsi" w:hAnsiTheme="minorHAnsi" w:cstheme="minorHAnsi"/>
                <w:b/>
                <w:sz w:val="20"/>
                <w:szCs w:val="20"/>
              </w:rPr>
              <w:t>proven</w:t>
            </w:r>
            <w:proofErr w:type="spellEnd"/>
            <w:r w:rsidRPr="001000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COVID-19 </w:t>
            </w:r>
            <w:r w:rsidR="00C95C9B">
              <w:rPr>
                <w:rFonts w:asciiTheme="minorHAnsi" w:hAnsiTheme="minorHAnsi" w:cstheme="minorHAnsi"/>
                <w:b/>
                <w:sz w:val="20"/>
                <w:szCs w:val="20"/>
              </w:rPr>
              <w:t>(n= 4159)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A73539" w:rsidRPr="001000C1" w:rsidRDefault="00C95C9B" w:rsidP="00C95C9B">
            <w:pPr>
              <w:pStyle w:val="Default"/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(n</w:t>
            </w:r>
            <w:r w:rsidR="004020C0" w:rsidRPr="001000C1">
              <w:rPr>
                <w:rFonts w:asciiTheme="minorHAnsi" w:hAnsiTheme="minorHAnsi" w:cstheme="minorHAnsi"/>
                <w:b/>
                <w:sz w:val="20"/>
                <w:szCs w:val="20"/>
              </w:rPr>
              <w:t>=2075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73539" w:rsidRPr="001000C1" w:rsidRDefault="00C95C9B" w:rsidP="00C95C9B">
            <w:pPr>
              <w:pStyle w:val="Default"/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(n</w:t>
            </w:r>
            <w:r w:rsidR="004020C0" w:rsidRPr="001000C1">
              <w:rPr>
                <w:rFonts w:asciiTheme="minorHAnsi" w:hAnsiTheme="minorHAnsi" w:cstheme="minorHAnsi"/>
                <w:b/>
                <w:sz w:val="20"/>
                <w:szCs w:val="20"/>
              </w:rPr>
              <w:t>=2084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3539" w:rsidRPr="008E79DE" w:rsidRDefault="00A73539" w:rsidP="00C95C9B">
            <w:pPr>
              <w:pStyle w:val="Default"/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3539" w:rsidRPr="008E79DE" w:rsidRDefault="00A73539" w:rsidP="00C95C9B">
            <w:pPr>
              <w:pStyle w:val="Default"/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5C9B" w:rsidRPr="008E79DE" w:rsidTr="00A0778B">
        <w:trPr>
          <w:trHeight w:val="290"/>
        </w:trPr>
        <w:tc>
          <w:tcPr>
            <w:tcW w:w="4106" w:type="dxa"/>
          </w:tcPr>
          <w:p w:rsidR="004020C0" w:rsidRPr="008E79DE" w:rsidRDefault="00C95C9B" w:rsidP="002404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020C0" w:rsidRPr="00C95C9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ary</w:t>
            </w:r>
            <w:r w:rsidR="004020C0" w:rsidRPr="008E79DE">
              <w:rPr>
                <w:rFonts w:asciiTheme="minorHAnsi" w:hAnsiTheme="minorHAnsi" w:cstheme="minorHAnsi"/>
                <w:sz w:val="20"/>
                <w:szCs w:val="20"/>
              </w:rPr>
              <w:t xml:space="preserve"> composite </w:t>
            </w:r>
            <w:proofErr w:type="spellStart"/>
            <w:r w:rsidR="004020C0" w:rsidRPr="008E79DE">
              <w:rPr>
                <w:rFonts w:asciiTheme="minorHAnsi" w:hAnsiTheme="minorHAnsi" w:cstheme="minorHAnsi"/>
                <w:sz w:val="20"/>
                <w:szCs w:val="20"/>
              </w:rPr>
              <w:t>endpoint</w:t>
            </w:r>
            <w:proofErr w:type="spellEnd"/>
            <w:r w:rsidR="004020C0" w:rsidRPr="008E79DE">
              <w:rPr>
                <w:rFonts w:asciiTheme="minorHAnsi" w:hAnsiTheme="minorHAnsi" w:cstheme="minorHAnsi"/>
                <w:sz w:val="20"/>
                <w:szCs w:val="20"/>
              </w:rPr>
              <w:t xml:space="preserve"> – n</w:t>
            </w:r>
            <w:r w:rsidR="004020C0">
              <w:rPr>
                <w:rFonts w:asciiTheme="minorHAnsi" w:hAnsiTheme="minorHAnsi" w:cstheme="minorHAnsi"/>
                <w:sz w:val="20"/>
                <w:szCs w:val="20"/>
              </w:rPr>
              <w:t xml:space="preserve">(%) </w:t>
            </w:r>
          </w:p>
        </w:tc>
        <w:tc>
          <w:tcPr>
            <w:tcW w:w="1281" w:type="dxa"/>
          </w:tcPr>
          <w:p w:rsidR="004020C0" w:rsidRPr="008E79DE" w:rsidRDefault="004020C0" w:rsidP="004020C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79DE">
              <w:rPr>
                <w:rFonts w:asciiTheme="minorHAnsi" w:hAnsiTheme="minorHAnsi" w:cstheme="minorHAnsi"/>
                <w:sz w:val="20"/>
                <w:szCs w:val="20"/>
              </w:rPr>
              <w:t>96 (4.6)</w:t>
            </w:r>
          </w:p>
        </w:tc>
        <w:tc>
          <w:tcPr>
            <w:tcW w:w="1276" w:type="dxa"/>
          </w:tcPr>
          <w:p w:rsidR="004020C0" w:rsidRPr="008E79DE" w:rsidRDefault="004020C0" w:rsidP="004020C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79DE">
              <w:rPr>
                <w:rFonts w:asciiTheme="minorHAnsi" w:hAnsiTheme="minorHAnsi" w:cstheme="minorHAnsi"/>
                <w:sz w:val="20"/>
                <w:szCs w:val="20"/>
              </w:rPr>
              <w:t>126 (6.0)</w:t>
            </w:r>
          </w:p>
        </w:tc>
        <w:tc>
          <w:tcPr>
            <w:tcW w:w="1701" w:type="dxa"/>
          </w:tcPr>
          <w:p w:rsidR="004020C0" w:rsidRPr="008E79DE" w:rsidRDefault="004020C0" w:rsidP="004020C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79DE">
              <w:rPr>
                <w:rFonts w:asciiTheme="minorHAnsi" w:hAnsiTheme="minorHAnsi" w:cstheme="minorHAnsi"/>
                <w:sz w:val="20"/>
                <w:szCs w:val="20"/>
              </w:rPr>
              <w:t>0.75 (0.57-0.99)</w:t>
            </w:r>
          </w:p>
        </w:tc>
        <w:tc>
          <w:tcPr>
            <w:tcW w:w="992" w:type="dxa"/>
          </w:tcPr>
          <w:p w:rsidR="004020C0" w:rsidRPr="008E79DE" w:rsidRDefault="004020C0" w:rsidP="003C7E7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79DE">
              <w:rPr>
                <w:rFonts w:asciiTheme="minorHAnsi" w:hAnsiTheme="minorHAnsi" w:cstheme="minorHAnsi"/>
                <w:sz w:val="20"/>
                <w:szCs w:val="20"/>
              </w:rPr>
              <w:t>0.04</w:t>
            </w:r>
          </w:p>
        </w:tc>
      </w:tr>
      <w:tr w:rsidR="00C95C9B" w:rsidRPr="008E79DE" w:rsidTr="00927AAD">
        <w:trPr>
          <w:trHeight w:val="290"/>
        </w:trPr>
        <w:tc>
          <w:tcPr>
            <w:tcW w:w="4106" w:type="dxa"/>
            <w:tcBorders>
              <w:bottom w:val="single" w:sz="4" w:space="0" w:color="auto"/>
            </w:tcBorders>
          </w:tcPr>
          <w:p w:rsidR="004020C0" w:rsidRPr="008E79DE" w:rsidRDefault="004020C0" w:rsidP="004020C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E79DE">
              <w:rPr>
                <w:rFonts w:asciiTheme="minorHAnsi" w:hAnsiTheme="minorHAnsi" w:cstheme="minorHAnsi"/>
                <w:sz w:val="20"/>
                <w:szCs w:val="20"/>
              </w:rPr>
              <w:t xml:space="preserve">Components of </w:t>
            </w:r>
            <w:r w:rsidR="00C95C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C95C9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ary</w:t>
            </w:r>
            <w:r w:rsidRPr="008E79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E79DE">
              <w:rPr>
                <w:rFonts w:asciiTheme="minorHAnsi" w:hAnsiTheme="minorHAnsi" w:cstheme="minorHAnsi"/>
                <w:sz w:val="20"/>
                <w:szCs w:val="20"/>
              </w:rPr>
              <w:t>endpoint</w:t>
            </w:r>
            <w:proofErr w:type="spellEnd"/>
            <w:r w:rsidRPr="008E79D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4020C0" w:rsidRPr="008E79DE" w:rsidRDefault="004020C0" w:rsidP="004020C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proofErr w:type="spellStart"/>
            <w:r w:rsidRPr="008E79DE">
              <w:rPr>
                <w:rFonts w:asciiTheme="minorHAnsi" w:hAnsiTheme="minorHAnsi" w:cstheme="minorHAnsi"/>
                <w:sz w:val="20"/>
                <w:szCs w:val="20"/>
              </w:rPr>
              <w:t>Death</w:t>
            </w:r>
            <w:proofErr w:type="spellEnd"/>
            <w:r w:rsidRPr="008E79DE">
              <w:rPr>
                <w:rFonts w:asciiTheme="minorHAnsi" w:hAnsiTheme="minorHAnsi" w:cstheme="minorHAnsi"/>
                <w:sz w:val="20"/>
                <w:szCs w:val="20"/>
              </w:rPr>
              <w:t xml:space="preserve"> – n(%) </w:t>
            </w:r>
          </w:p>
          <w:p w:rsidR="004020C0" w:rsidRPr="008E79DE" w:rsidRDefault="004020C0" w:rsidP="004020C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proofErr w:type="spellStart"/>
            <w:r w:rsidRPr="008E79DE">
              <w:rPr>
                <w:rFonts w:asciiTheme="minorHAnsi" w:hAnsiTheme="minorHAnsi" w:cstheme="minorHAnsi"/>
                <w:sz w:val="20"/>
                <w:szCs w:val="20"/>
              </w:rPr>
              <w:t>Hospitalization</w:t>
            </w:r>
            <w:proofErr w:type="spellEnd"/>
            <w:r w:rsidRPr="008E79DE">
              <w:rPr>
                <w:rFonts w:asciiTheme="minorHAnsi" w:hAnsiTheme="minorHAnsi" w:cstheme="minorHAnsi"/>
                <w:sz w:val="20"/>
                <w:szCs w:val="20"/>
              </w:rPr>
              <w:t xml:space="preserve"> for COVID-19 </w:t>
            </w:r>
            <w:r w:rsidR="00BA1DE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79DE">
              <w:rPr>
                <w:rFonts w:asciiTheme="minorHAnsi" w:hAnsiTheme="minorHAnsi" w:cstheme="minorHAnsi"/>
                <w:sz w:val="20"/>
                <w:szCs w:val="20"/>
              </w:rPr>
              <w:t xml:space="preserve">n(%) </w:t>
            </w:r>
          </w:p>
          <w:p w:rsidR="004020C0" w:rsidRPr="008E79DE" w:rsidRDefault="00C95C9B" w:rsidP="004020C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020C0" w:rsidRPr="00C95C9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ary</w:t>
            </w:r>
            <w:r w:rsidR="004020C0" w:rsidRPr="008E79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020C0" w:rsidRPr="008E79DE">
              <w:rPr>
                <w:rFonts w:asciiTheme="minorHAnsi" w:hAnsiTheme="minorHAnsi" w:cstheme="minorHAnsi"/>
                <w:sz w:val="20"/>
                <w:szCs w:val="20"/>
              </w:rPr>
              <w:t>endpoint</w:t>
            </w:r>
            <w:proofErr w:type="spellEnd"/>
            <w:r w:rsidR="004020C0" w:rsidRPr="008E79D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4020C0" w:rsidRPr="008E79DE" w:rsidRDefault="004020C0" w:rsidP="00240428">
            <w:pPr>
              <w:pStyle w:val="Default"/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A0778B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proofErr w:type="spellStart"/>
            <w:r w:rsidRPr="00A0778B">
              <w:rPr>
                <w:rFonts w:asciiTheme="minorHAnsi" w:hAnsiTheme="minorHAnsi" w:cstheme="minorHAnsi"/>
                <w:sz w:val="20"/>
                <w:szCs w:val="20"/>
              </w:rPr>
              <w:t>Mechanical</w:t>
            </w:r>
            <w:proofErr w:type="spellEnd"/>
            <w:r w:rsidRPr="008E79DE">
              <w:rPr>
                <w:rFonts w:asciiTheme="minorHAnsi" w:hAnsiTheme="minorHAnsi" w:cstheme="minorHAnsi"/>
                <w:sz w:val="20"/>
                <w:szCs w:val="20"/>
              </w:rPr>
              <w:t xml:space="preserve"> ventilation – n(%)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4020C0" w:rsidRDefault="004020C0" w:rsidP="004020C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020C0" w:rsidRPr="008E79DE" w:rsidRDefault="004020C0" w:rsidP="004020C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(0.2</w:t>
            </w:r>
            <w:r w:rsidRPr="008E79D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4020C0" w:rsidRPr="008E79DE" w:rsidRDefault="004020C0" w:rsidP="004020C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79DE">
              <w:rPr>
                <w:rFonts w:asciiTheme="minorHAnsi" w:hAnsiTheme="minorHAnsi" w:cstheme="minorHAnsi"/>
                <w:sz w:val="20"/>
                <w:szCs w:val="20"/>
              </w:rPr>
              <w:t>93 (4.5)</w:t>
            </w:r>
          </w:p>
          <w:p w:rsidR="004020C0" w:rsidRDefault="004020C0" w:rsidP="004020C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020C0" w:rsidRPr="008E79DE" w:rsidRDefault="004020C0" w:rsidP="004020C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79DE">
              <w:rPr>
                <w:rFonts w:asciiTheme="minorHAnsi" w:hAnsiTheme="minorHAnsi" w:cstheme="minorHAnsi"/>
                <w:sz w:val="20"/>
                <w:szCs w:val="20"/>
              </w:rPr>
              <w:t>10 (0.5)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20C0" w:rsidRDefault="004020C0" w:rsidP="004020C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020C0" w:rsidRPr="008E79DE" w:rsidRDefault="004020C0" w:rsidP="004020C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 (0.4</w:t>
            </w:r>
            <w:r w:rsidRPr="008E79D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4020C0" w:rsidRPr="008E79DE" w:rsidRDefault="004020C0" w:rsidP="004020C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79DE">
              <w:rPr>
                <w:rFonts w:asciiTheme="minorHAnsi" w:hAnsiTheme="minorHAnsi" w:cstheme="minorHAnsi"/>
                <w:sz w:val="20"/>
                <w:szCs w:val="20"/>
              </w:rPr>
              <w:t>123 (5.9)</w:t>
            </w:r>
          </w:p>
          <w:p w:rsidR="004020C0" w:rsidRDefault="004020C0" w:rsidP="004020C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020C0" w:rsidRPr="008E79DE" w:rsidRDefault="004020C0" w:rsidP="004020C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 (1.0</w:t>
            </w:r>
            <w:r w:rsidRPr="008E79D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20C0" w:rsidRDefault="004020C0" w:rsidP="004020C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020C0" w:rsidRPr="008E79DE" w:rsidRDefault="004020C0" w:rsidP="004020C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79DE">
              <w:rPr>
                <w:rFonts w:asciiTheme="minorHAnsi" w:hAnsiTheme="minorHAnsi" w:cstheme="minorHAnsi"/>
                <w:sz w:val="20"/>
                <w:szCs w:val="20"/>
              </w:rPr>
              <w:t>0.56 (0.19-1.66)</w:t>
            </w:r>
          </w:p>
          <w:p w:rsidR="004020C0" w:rsidRPr="008E79DE" w:rsidRDefault="004020C0" w:rsidP="004020C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79DE">
              <w:rPr>
                <w:rFonts w:asciiTheme="minorHAnsi" w:hAnsiTheme="minorHAnsi" w:cstheme="minorHAnsi"/>
                <w:sz w:val="20"/>
                <w:szCs w:val="20"/>
              </w:rPr>
              <w:t>0.75 (0.57-0.99)</w:t>
            </w:r>
          </w:p>
          <w:p w:rsidR="004020C0" w:rsidRDefault="004020C0" w:rsidP="004020C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778B" w:rsidRPr="008E79DE" w:rsidRDefault="004020C0" w:rsidP="004020C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E79DE">
              <w:rPr>
                <w:rFonts w:asciiTheme="minorHAnsi" w:hAnsiTheme="minorHAnsi" w:cstheme="minorHAnsi"/>
                <w:sz w:val="20"/>
                <w:szCs w:val="20"/>
              </w:rPr>
              <w:t>0.50 (0.23-1.07)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20C0" w:rsidRPr="008E79DE" w:rsidRDefault="004020C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778B" w:rsidRPr="008E79DE" w:rsidTr="00927AAD">
        <w:trPr>
          <w:trHeight w:val="290"/>
        </w:trPr>
        <w:tc>
          <w:tcPr>
            <w:tcW w:w="4106" w:type="dxa"/>
            <w:tcBorders>
              <w:top w:val="single" w:sz="4" w:space="0" w:color="auto"/>
            </w:tcBorders>
          </w:tcPr>
          <w:p w:rsidR="00A0778B" w:rsidRPr="00054346" w:rsidRDefault="00A0778B" w:rsidP="00A0778B">
            <w:pPr>
              <w:pStyle w:val="Default"/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54346">
              <w:rPr>
                <w:rFonts w:asciiTheme="minorHAnsi" w:hAnsiTheme="minorHAnsi" w:cstheme="minorHAnsi"/>
                <w:b/>
                <w:sz w:val="20"/>
                <w:szCs w:val="20"/>
              </w:rPr>
              <w:t>Safety</w:t>
            </w:r>
            <w:proofErr w:type="spellEnd"/>
            <w:r w:rsidR="00054346" w:rsidRPr="000543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(n= 4412)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A0778B" w:rsidRPr="00054346" w:rsidRDefault="00054346" w:rsidP="00A0778B">
            <w:pPr>
              <w:pStyle w:val="Default"/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(n=2195)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778B" w:rsidRPr="00054346" w:rsidRDefault="00054346" w:rsidP="00A0778B">
            <w:pPr>
              <w:pStyle w:val="Default"/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(n=2217)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778B" w:rsidRPr="00054346" w:rsidRDefault="00A0778B" w:rsidP="00A0778B">
            <w:pPr>
              <w:pStyle w:val="Default"/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0778B" w:rsidRPr="00054346" w:rsidRDefault="00A0778B" w:rsidP="00A0778B">
            <w:pPr>
              <w:pStyle w:val="Default"/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0778B" w:rsidRPr="008E79DE" w:rsidTr="00927AAD">
        <w:trPr>
          <w:trHeight w:val="290"/>
        </w:trPr>
        <w:tc>
          <w:tcPr>
            <w:tcW w:w="4106" w:type="dxa"/>
          </w:tcPr>
          <w:p w:rsidR="00A0778B" w:rsidRPr="008E79DE" w:rsidRDefault="00A0778B" w:rsidP="00A0778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All adverse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events</w:t>
            </w:r>
            <w:proofErr w:type="spellEnd"/>
          </w:p>
        </w:tc>
        <w:tc>
          <w:tcPr>
            <w:tcW w:w="1281" w:type="dxa"/>
          </w:tcPr>
          <w:p w:rsidR="00A0778B" w:rsidRDefault="00A0778B" w:rsidP="00A0778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532 (24.2)</w:t>
            </w:r>
          </w:p>
        </w:tc>
        <w:tc>
          <w:tcPr>
            <w:tcW w:w="1276" w:type="dxa"/>
          </w:tcPr>
          <w:p w:rsidR="00A0778B" w:rsidRDefault="00A0778B" w:rsidP="004020C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344 (15.5)</w:t>
            </w:r>
          </w:p>
        </w:tc>
        <w:tc>
          <w:tcPr>
            <w:tcW w:w="1701" w:type="dxa"/>
          </w:tcPr>
          <w:p w:rsidR="00A0778B" w:rsidRDefault="00A0778B" w:rsidP="004020C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0778B" w:rsidRPr="008E79DE" w:rsidRDefault="00054346" w:rsidP="0005434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0.001</w:t>
            </w:r>
          </w:p>
        </w:tc>
      </w:tr>
      <w:tr w:rsidR="00A0778B" w:rsidRPr="008E79DE" w:rsidTr="00054346">
        <w:trPr>
          <w:trHeight w:val="290"/>
        </w:trPr>
        <w:tc>
          <w:tcPr>
            <w:tcW w:w="4106" w:type="dxa"/>
          </w:tcPr>
          <w:p w:rsidR="00A0778B" w:rsidRPr="008E79DE" w:rsidRDefault="00A0778B" w:rsidP="004020C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Serious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adverse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events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A0778B" w:rsidRDefault="00054346" w:rsidP="004020C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108 (4.9)</w:t>
            </w:r>
          </w:p>
        </w:tc>
        <w:tc>
          <w:tcPr>
            <w:tcW w:w="1276" w:type="dxa"/>
          </w:tcPr>
          <w:p w:rsidR="00A0778B" w:rsidRDefault="00054346" w:rsidP="004020C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139 (6.3)</w:t>
            </w:r>
          </w:p>
        </w:tc>
        <w:tc>
          <w:tcPr>
            <w:tcW w:w="1701" w:type="dxa"/>
          </w:tcPr>
          <w:p w:rsidR="00A0778B" w:rsidRDefault="00A0778B" w:rsidP="004020C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0778B" w:rsidRPr="008E79DE" w:rsidRDefault="00054346" w:rsidP="0005434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0.05</w:t>
            </w:r>
          </w:p>
        </w:tc>
      </w:tr>
      <w:tr w:rsidR="00A0778B" w:rsidRPr="008E79DE" w:rsidTr="00054346">
        <w:trPr>
          <w:trHeight w:val="290"/>
        </w:trPr>
        <w:tc>
          <w:tcPr>
            <w:tcW w:w="4106" w:type="dxa"/>
            <w:tcBorders>
              <w:bottom w:val="single" w:sz="4" w:space="0" w:color="auto"/>
            </w:tcBorders>
          </w:tcPr>
          <w:p w:rsidR="00A0778B" w:rsidRPr="008E79DE" w:rsidRDefault="00A0778B" w:rsidP="00054346">
            <w:pPr>
              <w:pStyle w:val="Default"/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Diarrhea</w:t>
            </w:r>
            <w:proofErr w:type="spellEnd"/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A0778B" w:rsidRDefault="00A0778B" w:rsidP="00054346">
            <w:pPr>
              <w:pStyle w:val="Default"/>
              <w:spacing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300 (13.7)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78B" w:rsidRDefault="00A0778B" w:rsidP="00054346">
            <w:pPr>
              <w:pStyle w:val="Default"/>
              <w:spacing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161 (7.3)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778B" w:rsidRDefault="00A0778B" w:rsidP="00054346">
            <w:pPr>
              <w:pStyle w:val="Default"/>
              <w:spacing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778B" w:rsidRPr="008E79DE" w:rsidRDefault="00054346" w:rsidP="00054346">
            <w:pPr>
              <w:pStyle w:val="Default"/>
              <w:spacing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0.001</w:t>
            </w:r>
          </w:p>
        </w:tc>
      </w:tr>
    </w:tbl>
    <w:p w:rsidR="00C61EE2" w:rsidRDefault="00A0778B">
      <w:pPr>
        <w:rPr>
          <w:caps/>
          <w:lang w:val="fr-FR"/>
        </w:rPr>
      </w:pPr>
      <w:r>
        <w:rPr>
          <w:caps/>
          <w:lang w:val="fr-FR"/>
        </w:rPr>
        <w:t xml:space="preserve">  </w:t>
      </w:r>
    </w:p>
    <w:p w:rsidR="00104237" w:rsidRDefault="004659E0" w:rsidP="00054346">
      <w:pPr>
        <w:jc w:val="both"/>
        <w:rPr>
          <w:caps/>
          <w:lang w:val="fr-FR"/>
        </w:rPr>
      </w:pPr>
      <w:r w:rsidRPr="00104237">
        <w:rPr>
          <w:caps/>
          <w:lang w:val="fr-FR"/>
        </w:rPr>
        <w:t>Conclusion</w:t>
      </w:r>
      <w:r w:rsidR="007E63EC">
        <w:rPr>
          <w:caps/>
          <w:lang w:val="fr-FR"/>
        </w:rPr>
        <w:t xml:space="preserve"> DES AUTEURS</w:t>
      </w:r>
    </w:p>
    <w:p w:rsidR="00054346" w:rsidRDefault="00104237" w:rsidP="0035572E">
      <w:pPr>
        <w:jc w:val="both"/>
        <w:rPr>
          <w:lang w:val="fr-FR"/>
        </w:rPr>
      </w:pPr>
      <w:r>
        <w:rPr>
          <w:lang w:val="fr-FR"/>
        </w:rPr>
        <w:t>C</w:t>
      </w:r>
      <w:r w:rsidR="004659E0">
        <w:rPr>
          <w:lang w:val="fr-FR"/>
        </w:rPr>
        <w:t xml:space="preserve">hez les patients atteints de covid-19 non hospitalisés, la colchicine réduit le </w:t>
      </w:r>
      <w:r w:rsidR="008B0B21">
        <w:rPr>
          <w:lang w:val="fr-FR"/>
        </w:rPr>
        <w:t>taux</w:t>
      </w:r>
      <w:r w:rsidR="004659E0">
        <w:rPr>
          <w:lang w:val="fr-FR"/>
        </w:rPr>
        <w:t xml:space="preserve"> composite de décès ou hospitalisation</w:t>
      </w:r>
    </w:p>
    <w:p w:rsidR="00104237" w:rsidRDefault="00104237" w:rsidP="0035572E">
      <w:pPr>
        <w:jc w:val="both"/>
        <w:rPr>
          <w:lang w:val="fr-FR"/>
        </w:rPr>
      </w:pPr>
      <w:r>
        <w:rPr>
          <w:lang w:val="fr-FR"/>
        </w:rPr>
        <w:lastRenderedPageBreak/>
        <w:t>LECTURE CRITIQUE</w:t>
      </w:r>
    </w:p>
    <w:p w:rsidR="007E63EC" w:rsidRDefault="002C77A9" w:rsidP="0035572E">
      <w:pPr>
        <w:jc w:val="both"/>
        <w:rPr>
          <w:lang w:val="fr-FR"/>
        </w:rPr>
      </w:pPr>
      <w:r>
        <w:rPr>
          <w:lang w:val="fr-FR"/>
        </w:rPr>
        <w:t>De façon surprenante,</w:t>
      </w:r>
      <w:r w:rsidR="00511983">
        <w:rPr>
          <w:lang w:val="fr-FR"/>
        </w:rPr>
        <w:t xml:space="preserve"> l</w:t>
      </w:r>
      <w:r w:rsidR="000844C1">
        <w:rPr>
          <w:lang w:val="fr-FR"/>
        </w:rPr>
        <w:t xml:space="preserve">’analyse </w:t>
      </w:r>
      <w:r w:rsidR="00511983">
        <w:rPr>
          <w:lang w:val="fr-FR"/>
        </w:rPr>
        <w:t>principal</w:t>
      </w:r>
      <w:r w:rsidR="000844C1">
        <w:rPr>
          <w:lang w:val="fr-FR"/>
        </w:rPr>
        <w:t>e</w:t>
      </w:r>
      <w:r w:rsidR="00511983">
        <w:rPr>
          <w:lang w:val="fr-FR"/>
        </w:rPr>
        <w:t xml:space="preserve"> </w:t>
      </w:r>
      <w:r w:rsidR="004659E0">
        <w:rPr>
          <w:lang w:val="fr-FR"/>
        </w:rPr>
        <w:t xml:space="preserve">de l’étude ne montre pas d’efficacité </w:t>
      </w:r>
      <w:r w:rsidR="000A79C8">
        <w:rPr>
          <w:lang w:val="fr-FR"/>
        </w:rPr>
        <w:t xml:space="preserve">statistiquement significative </w:t>
      </w:r>
      <w:r w:rsidR="00511983">
        <w:rPr>
          <w:lang w:val="fr-FR"/>
        </w:rPr>
        <w:t xml:space="preserve">de la colchicine </w:t>
      </w:r>
      <w:r w:rsidR="004659E0">
        <w:rPr>
          <w:lang w:val="fr-FR"/>
        </w:rPr>
        <w:t>sur le taux de décès ou hospitalisation (OR = 0.7</w:t>
      </w:r>
      <w:r w:rsidR="000A79C8">
        <w:rPr>
          <w:lang w:val="fr-FR"/>
        </w:rPr>
        <w:t>9</w:t>
      </w:r>
      <w:r w:rsidR="004659E0">
        <w:rPr>
          <w:lang w:val="fr-FR"/>
        </w:rPr>
        <w:t>, IC</w:t>
      </w:r>
      <w:r w:rsidR="00511983">
        <w:rPr>
          <w:lang w:val="fr-FR"/>
        </w:rPr>
        <w:t xml:space="preserve"> </w:t>
      </w:r>
      <w:r w:rsidR="004659E0">
        <w:rPr>
          <w:lang w:val="fr-FR"/>
        </w:rPr>
        <w:t>95% 0.</w:t>
      </w:r>
      <w:r w:rsidR="000A79C8">
        <w:rPr>
          <w:lang w:val="fr-FR"/>
        </w:rPr>
        <w:t>57</w:t>
      </w:r>
      <w:r w:rsidR="004659E0">
        <w:rPr>
          <w:lang w:val="fr-FR"/>
        </w:rPr>
        <w:t>-1.03, p = 0.08)</w:t>
      </w:r>
      <w:r w:rsidR="007E63EC">
        <w:rPr>
          <w:lang w:val="fr-FR"/>
        </w:rPr>
        <w:t xml:space="preserve"> mais les auteurs concluent quand même à cette efficacité</w:t>
      </w:r>
      <w:r w:rsidR="00605877">
        <w:rPr>
          <w:lang w:val="fr-FR"/>
        </w:rPr>
        <w:t>,</w:t>
      </w:r>
      <w:r w:rsidR="007E63EC">
        <w:rPr>
          <w:lang w:val="fr-FR"/>
        </w:rPr>
        <w:t xml:space="preserve"> sans s’expliquer clairement sur </w:t>
      </w:r>
      <w:r w:rsidR="00A93EC3">
        <w:rPr>
          <w:lang w:val="fr-FR"/>
        </w:rPr>
        <w:t xml:space="preserve">cette </w:t>
      </w:r>
      <w:r w:rsidR="00116FEB">
        <w:rPr>
          <w:lang w:val="fr-FR"/>
        </w:rPr>
        <w:t>discordance</w:t>
      </w:r>
      <w:r w:rsidR="007E63EC">
        <w:rPr>
          <w:lang w:val="fr-FR"/>
        </w:rPr>
        <w:t xml:space="preserve">. C’est un exemple typique </w:t>
      </w:r>
      <w:r w:rsidR="007E63EC" w:rsidRPr="000A79C8">
        <w:rPr>
          <w:lang w:val="fr-FR"/>
        </w:rPr>
        <w:t>d’</w:t>
      </w:r>
      <w:r w:rsidR="007E63EC" w:rsidRPr="00B60419">
        <w:rPr>
          <w:u w:val="single"/>
          <w:lang w:val="fr-FR"/>
        </w:rPr>
        <w:t>embellissement des données</w:t>
      </w:r>
      <w:r w:rsidR="007E63EC">
        <w:rPr>
          <w:lang w:val="fr-FR"/>
        </w:rPr>
        <w:t xml:space="preserve"> (</w:t>
      </w:r>
      <w:r w:rsidR="007E63EC" w:rsidRPr="00270BAD">
        <w:rPr>
          <w:i/>
          <w:lang w:val="fr-FR"/>
        </w:rPr>
        <w:t>spin</w:t>
      </w:r>
      <w:r w:rsidR="007E63EC">
        <w:rPr>
          <w:lang w:val="fr-FR"/>
        </w:rPr>
        <w:t>)</w:t>
      </w:r>
      <w:r w:rsidR="000506B1">
        <w:rPr>
          <w:lang w:val="fr-FR"/>
        </w:rPr>
        <w:t xml:space="preserve"> (1)</w:t>
      </w:r>
      <w:r w:rsidR="007E63EC">
        <w:rPr>
          <w:lang w:val="fr-FR"/>
        </w:rPr>
        <w:t>.</w:t>
      </w:r>
      <w:r w:rsidR="004659E0">
        <w:rPr>
          <w:lang w:val="fr-FR"/>
        </w:rPr>
        <w:t xml:space="preserve"> </w:t>
      </w:r>
    </w:p>
    <w:p w:rsidR="00B775F0" w:rsidRPr="00D9457A" w:rsidRDefault="007E63EC" w:rsidP="00D9457A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 w:rsidRPr="00D9457A">
        <w:rPr>
          <w:lang w:val="fr-FR"/>
        </w:rPr>
        <w:t xml:space="preserve">Soit ils </w:t>
      </w:r>
      <w:r w:rsidR="00B775F0" w:rsidRPr="00D9457A">
        <w:rPr>
          <w:lang w:val="fr-FR"/>
        </w:rPr>
        <w:t>se</w:t>
      </w:r>
      <w:r w:rsidRPr="00D9457A">
        <w:rPr>
          <w:lang w:val="fr-FR"/>
        </w:rPr>
        <w:t xml:space="preserve"> </w:t>
      </w:r>
      <w:r w:rsidR="00511983" w:rsidRPr="00D9457A">
        <w:rPr>
          <w:lang w:val="fr-FR"/>
        </w:rPr>
        <w:t>base</w:t>
      </w:r>
      <w:r w:rsidR="00B775F0" w:rsidRPr="00D9457A">
        <w:rPr>
          <w:lang w:val="fr-FR"/>
        </w:rPr>
        <w:t>nt sur l’</w:t>
      </w:r>
      <w:r w:rsidRPr="00D9457A">
        <w:rPr>
          <w:lang w:val="fr-FR"/>
        </w:rPr>
        <w:t>analyse secondaire</w:t>
      </w:r>
      <w:r w:rsidR="00511983" w:rsidRPr="00D9457A">
        <w:rPr>
          <w:lang w:val="fr-FR"/>
        </w:rPr>
        <w:t xml:space="preserve"> d’un sous-groupe de patients</w:t>
      </w:r>
      <w:r w:rsidR="002C77A9" w:rsidRPr="00D9457A">
        <w:rPr>
          <w:lang w:val="fr-FR"/>
        </w:rPr>
        <w:t xml:space="preserve"> ayant un</w:t>
      </w:r>
      <w:r w:rsidR="00511983" w:rsidRPr="00D9457A">
        <w:rPr>
          <w:lang w:val="fr-FR"/>
        </w:rPr>
        <w:t xml:space="preserve"> diagnostic de covid-19 validé par PCR (OR = 0.75, IC 95% 0.57-0.9</w:t>
      </w:r>
      <w:r w:rsidR="00B775F0" w:rsidRPr="00D9457A">
        <w:rPr>
          <w:lang w:val="fr-FR"/>
        </w:rPr>
        <w:t xml:space="preserve">9, p = 0.04) mais </w:t>
      </w:r>
      <w:r w:rsidR="00B775F0" w:rsidRPr="00D9457A">
        <w:rPr>
          <w:u w:val="single"/>
          <w:lang w:val="fr-FR"/>
        </w:rPr>
        <w:t>ce résultat</w:t>
      </w:r>
      <w:r w:rsidR="000506B1">
        <w:rPr>
          <w:u w:val="single"/>
          <w:lang w:val="fr-FR"/>
        </w:rPr>
        <w:t xml:space="preserve"> est</w:t>
      </w:r>
      <w:r w:rsidR="00B775F0" w:rsidRPr="00D9457A">
        <w:rPr>
          <w:u w:val="single"/>
          <w:lang w:val="fr-FR"/>
        </w:rPr>
        <w:t xml:space="preserve"> potentiellement biaisé</w:t>
      </w:r>
      <w:r w:rsidR="00B775F0" w:rsidRPr="00D9457A">
        <w:rPr>
          <w:lang w:val="fr-FR"/>
        </w:rPr>
        <w:t> : l’exclusion de 329 patients non confirmés par PCR risque d</w:t>
      </w:r>
      <w:r w:rsidR="00927AAD">
        <w:rPr>
          <w:lang w:val="fr-FR"/>
        </w:rPr>
        <w:t>e</w:t>
      </w:r>
      <w:r w:rsidR="00B775F0" w:rsidRPr="00D9457A">
        <w:rPr>
          <w:lang w:val="fr-FR"/>
        </w:rPr>
        <w:t xml:space="preserve"> détrui</w:t>
      </w:r>
      <w:r w:rsidR="00927AAD">
        <w:rPr>
          <w:lang w:val="fr-FR"/>
        </w:rPr>
        <w:t>re</w:t>
      </w:r>
      <w:r w:rsidR="00B775F0" w:rsidRPr="00D9457A">
        <w:rPr>
          <w:lang w:val="fr-FR"/>
        </w:rPr>
        <w:t xml:space="preserve"> les bénéfices de la randomisation e</w:t>
      </w:r>
      <w:r w:rsidR="000506B1">
        <w:rPr>
          <w:lang w:val="fr-FR"/>
        </w:rPr>
        <w:t xml:space="preserve">t </w:t>
      </w:r>
      <w:r w:rsidR="00D4599C">
        <w:rPr>
          <w:lang w:val="fr-FR"/>
        </w:rPr>
        <w:t>d</w:t>
      </w:r>
      <w:r w:rsidR="00927AAD">
        <w:rPr>
          <w:lang w:val="fr-FR"/>
        </w:rPr>
        <w:t>e</w:t>
      </w:r>
      <w:r w:rsidR="00D4599C">
        <w:rPr>
          <w:lang w:val="fr-FR"/>
        </w:rPr>
        <w:t xml:space="preserve"> génér</w:t>
      </w:r>
      <w:r w:rsidR="00927AAD">
        <w:rPr>
          <w:lang w:val="fr-FR"/>
        </w:rPr>
        <w:t>er</w:t>
      </w:r>
      <w:r w:rsidR="00B775F0" w:rsidRPr="00D9457A">
        <w:rPr>
          <w:lang w:val="fr-FR"/>
        </w:rPr>
        <w:t xml:space="preserve"> des différences de caractéristiques de base des patients entre les deux bras de l’étude. </w:t>
      </w:r>
      <w:r w:rsidR="0021291F">
        <w:rPr>
          <w:lang w:val="fr-FR"/>
        </w:rPr>
        <w:t xml:space="preserve">Ce risque de bais est particulièrement </w:t>
      </w:r>
      <w:r w:rsidR="00D4599C">
        <w:rPr>
          <w:lang w:val="fr-FR"/>
        </w:rPr>
        <w:t>d’</w:t>
      </w:r>
      <w:r w:rsidR="0021291F">
        <w:rPr>
          <w:lang w:val="fr-FR"/>
        </w:rPr>
        <w:t>importan</w:t>
      </w:r>
      <w:r w:rsidR="00D4599C">
        <w:rPr>
          <w:lang w:val="fr-FR"/>
        </w:rPr>
        <w:t>ce</w:t>
      </w:r>
      <w:r w:rsidR="0021291F">
        <w:rPr>
          <w:lang w:val="fr-FR"/>
        </w:rPr>
        <w:t xml:space="preserve"> dans </w:t>
      </w:r>
      <w:r w:rsidR="000506B1">
        <w:rPr>
          <w:lang w:val="fr-FR"/>
        </w:rPr>
        <w:t>l</w:t>
      </w:r>
      <w:r w:rsidR="0021291F">
        <w:rPr>
          <w:lang w:val="fr-FR"/>
        </w:rPr>
        <w:t>e cas</w:t>
      </w:r>
      <w:r w:rsidR="000506B1">
        <w:rPr>
          <w:lang w:val="fr-FR"/>
        </w:rPr>
        <w:t xml:space="preserve"> présent</w:t>
      </w:r>
      <w:r w:rsidR="006B60CE" w:rsidRPr="00D9457A">
        <w:rPr>
          <w:lang w:val="fr-FR"/>
        </w:rPr>
        <w:t xml:space="preserve"> du fait</w:t>
      </w:r>
      <w:r w:rsidR="000506B1">
        <w:rPr>
          <w:lang w:val="fr-FR"/>
        </w:rPr>
        <w:t xml:space="preserve"> que</w:t>
      </w:r>
      <w:r w:rsidR="006B60CE" w:rsidRPr="00D9457A">
        <w:rPr>
          <w:lang w:val="fr-FR"/>
        </w:rPr>
        <w:t xml:space="preserve"> le résultat </w:t>
      </w:r>
      <w:r w:rsidR="000506B1">
        <w:rPr>
          <w:lang w:val="fr-FR"/>
        </w:rPr>
        <w:t>est</w:t>
      </w:r>
      <w:r w:rsidR="0021291F">
        <w:rPr>
          <w:lang w:val="fr-FR"/>
        </w:rPr>
        <w:t xml:space="preserve"> déjà à </w:t>
      </w:r>
      <w:r w:rsidR="006B60CE" w:rsidRPr="00D9457A">
        <w:rPr>
          <w:lang w:val="fr-FR"/>
        </w:rPr>
        <w:t>la limite de la signification statistique</w:t>
      </w:r>
      <w:r w:rsidR="006B60CE">
        <w:rPr>
          <w:rStyle w:val="Appelnotedebasdep"/>
          <w:lang w:val="fr-FR"/>
        </w:rPr>
        <w:footnoteReference w:id="1"/>
      </w:r>
      <w:r w:rsidR="006B60CE" w:rsidRPr="00D9457A">
        <w:rPr>
          <w:lang w:val="fr-FR"/>
        </w:rPr>
        <w:t>.</w:t>
      </w:r>
    </w:p>
    <w:p w:rsidR="00E3582E" w:rsidRPr="00D9457A" w:rsidRDefault="006B60CE" w:rsidP="00D9457A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 w:rsidRPr="00D9457A">
        <w:rPr>
          <w:lang w:val="fr-FR"/>
        </w:rPr>
        <w:t xml:space="preserve">Soit, </w:t>
      </w:r>
      <w:r w:rsidR="00927AAD">
        <w:rPr>
          <w:lang w:val="fr-FR"/>
        </w:rPr>
        <w:t xml:space="preserve">comme </w:t>
      </w:r>
      <w:r w:rsidR="00046821">
        <w:rPr>
          <w:lang w:val="fr-FR"/>
        </w:rPr>
        <w:t xml:space="preserve">le laissent entendre </w:t>
      </w:r>
      <w:r w:rsidR="00927AAD">
        <w:rPr>
          <w:lang w:val="fr-FR"/>
        </w:rPr>
        <w:t>les</w:t>
      </w:r>
      <w:r w:rsidRPr="00D9457A">
        <w:rPr>
          <w:lang w:val="fr-FR"/>
        </w:rPr>
        <w:t xml:space="preserve"> commentaires de l’auteur </w:t>
      </w:r>
      <w:r w:rsidR="00D9457A" w:rsidRPr="00D9457A">
        <w:rPr>
          <w:lang w:val="fr-FR"/>
        </w:rPr>
        <w:t xml:space="preserve">principal </w:t>
      </w:r>
      <w:r w:rsidRPr="00D9457A">
        <w:rPr>
          <w:lang w:val="fr-FR"/>
        </w:rPr>
        <w:t>su</w:t>
      </w:r>
      <w:r w:rsidR="00D9457A" w:rsidRPr="00D9457A">
        <w:rPr>
          <w:lang w:val="fr-FR"/>
        </w:rPr>
        <w:t>r</w:t>
      </w:r>
      <w:r w:rsidRPr="00D9457A">
        <w:rPr>
          <w:lang w:val="fr-FR"/>
        </w:rPr>
        <w:t xml:space="preserve"> le site de l’étude</w:t>
      </w:r>
      <w:r w:rsidR="00D9457A">
        <w:rPr>
          <w:rStyle w:val="Appelnotedebasdep"/>
          <w:lang w:val="fr-FR"/>
        </w:rPr>
        <w:footnoteReference w:id="2"/>
      </w:r>
      <w:r w:rsidR="00046821">
        <w:rPr>
          <w:lang w:val="fr-FR"/>
        </w:rPr>
        <w:t>,</w:t>
      </w:r>
      <w:r w:rsidR="00927AAD">
        <w:rPr>
          <w:lang w:val="fr-FR"/>
        </w:rPr>
        <w:t xml:space="preserve"> </w:t>
      </w:r>
      <w:r w:rsidR="00D9457A" w:rsidRPr="00D9457A">
        <w:rPr>
          <w:lang w:val="fr-FR"/>
        </w:rPr>
        <w:t xml:space="preserve"> ils considèrent qu’il ne faut pas </w:t>
      </w:r>
      <w:r w:rsidR="00A93EC3">
        <w:rPr>
          <w:lang w:val="fr-FR"/>
        </w:rPr>
        <w:t>être procédurier</w:t>
      </w:r>
      <w:r w:rsidR="00D9457A" w:rsidRPr="00D9457A">
        <w:rPr>
          <w:lang w:val="fr-FR"/>
        </w:rPr>
        <w:t xml:space="preserve"> sur </w:t>
      </w:r>
      <w:r w:rsidR="00A93EC3">
        <w:rPr>
          <w:lang w:val="fr-FR"/>
        </w:rPr>
        <w:t>le</w:t>
      </w:r>
      <w:r w:rsidR="00D9457A" w:rsidRPr="00D9457A">
        <w:rPr>
          <w:lang w:val="fr-FR"/>
        </w:rPr>
        <w:t xml:space="preserve"> seuil de signification statistique </w:t>
      </w:r>
      <w:r w:rsidR="000506B1">
        <w:rPr>
          <w:lang w:val="fr-FR"/>
        </w:rPr>
        <w:t>et qu’</w:t>
      </w:r>
      <w:r w:rsidR="00D9457A" w:rsidRPr="00D9457A">
        <w:rPr>
          <w:lang w:val="fr-FR"/>
        </w:rPr>
        <w:t xml:space="preserve">une valeur p à 0.08 serait bien suffisante </w:t>
      </w:r>
      <w:r w:rsidR="00D4599C">
        <w:rPr>
          <w:lang w:val="fr-FR"/>
        </w:rPr>
        <w:t xml:space="preserve">pour </w:t>
      </w:r>
      <w:r w:rsidR="00D95CA1">
        <w:rPr>
          <w:lang w:val="fr-FR"/>
        </w:rPr>
        <w:t>revendiquer</w:t>
      </w:r>
      <w:r w:rsidR="00D4599C">
        <w:rPr>
          <w:lang w:val="fr-FR"/>
        </w:rPr>
        <w:t xml:space="preserve"> l’efficacité de leur traitement </w:t>
      </w:r>
      <w:r w:rsidR="00D9457A" w:rsidRPr="00D9457A">
        <w:rPr>
          <w:lang w:val="fr-FR"/>
        </w:rPr>
        <w:t xml:space="preserve">dans </w:t>
      </w:r>
      <w:r w:rsidR="002148D1">
        <w:rPr>
          <w:lang w:val="fr-FR"/>
        </w:rPr>
        <w:t>le</w:t>
      </w:r>
      <w:r w:rsidR="00D9457A" w:rsidRPr="00D9457A">
        <w:rPr>
          <w:lang w:val="fr-FR"/>
        </w:rPr>
        <w:t xml:space="preserve"> contexte d’urgence</w:t>
      </w:r>
      <w:r w:rsidR="00927AAD">
        <w:rPr>
          <w:lang w:val="fr-FR"/>
        </w:rPr>
        <w:t xml:space="preserve"> </w:t>
      </w:r>
      <w:r w:rsidR="00046821">
        <w:rPr>
          <w:lang w:val="fr-FR"/>
        </w:rPr>
        <w:t xml:space="preserve">de la </w:t>
      </w:r>
      <w:r w:rsidR="00D9457A" w:rsidRPr="00D9457A">
        <w:rPr>
          <w:lang w:val="fr-FR"/>
        </w:rPr>
        <w:t>pandémi</w:t>
      </w:r>
      <w:r w:rsidR="00046821">
        <w:rPr>
          <w:lang w:val="fr-FR"/>
        </w:rPr>
        <w:t>e</w:t>
      </w:r>
      <w:r w:rsidR="00927AAD">
        <w:rPr>
          <w:lang w:val="fr-FR"/>
        </w:rPr>
        <w:t xml:space="preserve"> </w:t>
      </w:r>
      <w:r w:rsidR="00D9457A" w:rsidRPr="00D9457A">
        <w:rPr>
          <w:lang w:val="fr-FR"/>
        </w:rPr>
        <w:t xml:space="preserve">! </w:t>
      </w:r>
    </w:p>
    <w:p w:rsidR="007D0B90" w:rsidRDefault="0095666F" w:rsidP="00CF57DD">
      <w:pPr>
        <w:spacing w:after="0"/>
        <w:jc w:val="both"/>
        <w:rPr>
          <w:lang w:val="fr-FR"/>
        </w:rPr>
      </w:pPr>
      <w:r>
        <w:rPr>
          <w:lang w:val="fr-FR"/>
        </w:rPr>
        <w:t xml:space="preserve">Le choix d’un </w:t>
      </w:r>
      <w:r w:rsidRPr="00EB23E2">
        <w:rPr>
          <w:u w:val="single"/>
          <w:lang w:val="fr-FR"/>
        </w:rPr>
        <w:t>c</w:t>
      </w:r>
      <w:r w:rsidR="00DB1C0E" w:rsidRPr="00EB23E2">
        <w:rPr>
          <w:u w:val="single"/>
          <w:lang w:val="fr-FR"/>
        </w:rPr>
        <w:t>ritère d’efficacité composite</w:t>
      </w:r>
      <w:r>
        <w:rPr>
          <w:lang w:val="fr-FR"/>
        </w:rPr>
        <w:t xml:space="preserve"> complique l’interprétation des résultats et rend malaisée la prise de décision qui en résulte. </w:t>
      </w:r>
      <w:r w:rsidR="007D0B90">
        <w:rPr>
          <w:lang w:val="fr-FR"/>
        </w:rPr>
        <w:t xml:space="preserve">Il y a au moins trois conditions </w:t>
      </w:r>
      <w:r w:rsidR="008B28D2">
        <w:rPr>
          <w:lang w:val="fr-FR"/>
        </w:rPr>
        <w:t>nécessaires</w:t>
      </w:r>
      <w:r w:rsidR="007D0B90">
        <w:rPr>
          <w:lang w:val="fr-FR"/>
        </w:rPr>
        <w:t xml:space="preserve"> pour valider un critère d’efficacité composite</w:t>
      </w:r>
      <w:r w:rsidR="00DA5E8F">
        <w:rPr>
          <w:lang w:val="fr-FR"/>
        </w:rPr>
        <w:t xml:space="preserve"> (2)</w:t>
      </w:r>
      <w:r w:rsidR="00CF57DD">
        <w:rPr>
          <w:lang w:val="fr-FR"/>
        </w:rPr>
        <w:t xml:space="preserve"> et deux d’entre elles ne sont pas remplies dans </w:t>
      </w:r>
      <w:r w:rsidR="00A93EC3">
        <w:rPr>
          <w:lang w:val="fr-FR"/>
        </w:rPr>
        <w:t>l’</w:t>
      </w:r>
      <w:r w:rsidR="00CF57DD">
        <w:rPr>
          <w:lang w:val="fr-FR"/>
        </w:rPr>
        <w:t>étude :</w:t>
      </w:r>
    </w:p>
    <w:p w:rsidR="007D0B90" w:rsidRPr="007D0B90" w:rsidRDefault="007D0B90" w:rsidP="007D0B90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 w:rsidRPr="007D0B90">
        <w:rPr>
          <w:lang w:val="fr-FR"/>
        </w:rPr>
        <w:t>L</w:t>
      </w:r>
      <w:r w:rsidR="0095666F" w:rsidRPr="007D0B90">
        <w:rPr>
          <w:lang w:val="fr-FR"/>
        </w:rPr>
        <w:t>’importance relative de ses composants</w:t>
      </w:r>
      <w:r w:rsidRPr="007D0B90">
        <w:rPr>
          <w:lang w:val="fr-FR"/>
        </w:rPr>
        <w:t xml:space="preserve"> doit être équilibrée</w:t>
      </w:r>
      <w:r w:rsidR="0095666F" w:rsidRPr="007D0B90">
        <w:rPr>
          <w:lang w:val="fr-FR"/>
        </w:rPr>
        <w:t xml:space="preserve">, ce qui n’est pas le cas ici : la quasi-totalité des patients, à l’exception peut-être des plus âgés, </w:t>
      </w:r>
      <w:r w:rsidR="00C64E1B">
        <w:rPr>
          <w:lang w:val="fr-FR"/>
        </w:rPr>
        <w:t>trouvera certainement plus dommageable de</w:t>
      </w:r>
      <w:r w:rsidR="0095666F" w:rsidRPr="007D0B90">
        <w:rPr>
          <w:lang w:val="fr-FR"/>
        </w:rPr>
        <w:t xml:space="preserve"> perdre la vie qu</w:t>
      </w:r>
      <w:r w:rsidR="00C64E1B">
        <w:rPr>
          <w:lang w:val="fr-FR"/>
        </w:rPr>
        <w:t>e d’être</w:t>
      </w:r>
      <w:r w:rsidR="0095666F" w:rsidRPr="007D0B90">
        <w:rPr>
          <w:lang w:val="fr-FR"/>
        </w:rPr>
        <w:t xml:space="preserve"> hospitalisé. D</w:t>
      </w:r>
      <w:r w:rsidR="00820412">
        <w:rPr>
          <w:lang w:val="fr-FR"/>
        </w:rPr>
        <w:t>ans le contexte d’une étude de santé publique</w:t>
      </w:r>
      <w:r w:rsidR="0095666F" w:rsidRPr="007D0B90">
        <w:rPr>
          <w:lang w:val="fr-FR"/>
        </w:rPr>
        <w:t xml:space="preserve"> ce critère </w:t>
      </w:r>
      <w:r w:rsidR="00820412">
        <w:rPr>
          <w:lang w:val="fr-FR"/>
        </w:rPr>
        <w:t>serait par contre</w:t>
      </w:r>
      <w:r w:rsidR="0095666F" w:rsidRPr="007D0B90">
        <w:rPr>
          <w:lang w:val="fr-FR"/>
        </w:rPr>
        <w:t xml:space="preserve"> plus pertinent : il est aussi </w:t>
      </w:r>
      <w:r w:rsidR="00C64E1B">
        <w:rPr>
          <w:lang w:val="fr-FR"/>
        </w:rPr>
        <w:t>crucial</w:t>
      </w:r>
      <w:r w:rsidR="0095666F" w:rsidRPr="007D0B90">
        <w:rPr>
          <w:lang w:val="fr-FR"/>
        </w:rPr>
        <w:t xml:space="preserve"> d’éviter la saturation des hôpitaux que de réduire la mortalité globale.</w:t>
      </w:r>
    </w:p>
    <w:p w:rsidR="007D0B90" w:rsidRPr="007D0B90" w:rsidRDefault="00AF1177" w:rsidP="007D0B90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Le</w:t>
      </w:r>
      <w:r w:rsidR="0091653A">
        <w:rPr>
          <w:lang w:val="fr-FR"/>
        </w:rPr>
        <w:t>s</w:t>
      </w:r>
      <w:r w:rsidR="007D0B90" w:rsidRPr="007D0B90">
        <w:rPr>
          <w:lang w:val="fr-FR"/>
        </w:rPr>
        <w:t xml:space="preserve"> </w:t>
      </w:r>
      <w:r>
        <w:rPr>
          <w:lang w:val="fr-FR"/>
        </w:rPr>
        <w:t>résultats</w:t>
      </w:r>
      <w:r w:rsidR="007D0B90" w:rsidRPr="007D0B90">
        <w:rPr>
          <w:lang w:val="fr-FR"/>
        </w:rPr>
        <w:t xml:space="preserve"> de ses composants doi</w:t>
      </w:r>
      <w:r w:rsidR="0091653A">
        <w:rPr>
          <w:lang w:val="fr-FR"/>
        </w:rPr>
        <w:t>vent</w:t>
      </w:r>
      <w:r w:rsidR="007D0B90" w:rsidRPr="007D0B90">
        <w:rPr>
          <w:lang w:val="fr-FR"/>
        </w:rPr>
        <w:t xml:space="preserve"> être co</w:t>
      </w:r>
      <w:r w:rsidR="00D4599C">
        <w:rPr>
          <w:lang w:val="fr-FR"/>
        </w:rPr>
        <w:t>nvergents</w:t>
      </w:r>
      <w:r w:rsidR="007D0B90" w:rsidRPr="007D0B90">
        <w:rPr>
          <w:lang w:val="fr-FR"/>
        </w:rPr>
        <w:t xml:space="preserve"> avec cel</w:t>
      </w:r>
      <w:r>
        <w:rPr>
          <w:lang w:val="fr-FR"/>
        </w:rPr>
        <w:t>ui</w:t>
      </w:r>
      <w:r w:rsidR="007D0B90" w:rsidRPr="007D0B90">
        <w:rPr>
          <w:lang w:val="fr-FR"/>
        </w:rPr>
        <w:t xml:space="preserve"> du résultat global, ce qui est le cas ici</w:t>
      </w:r>
      <w:r w:rsidR="007D0B90">
        <w:rPr>
          <w:lang w:val="fr-FR"/>
        </w:rPr>
        <w:t xml:space="preserve"> : les résultats </w:t>
      </w:r>
      <w:r w:rsidR="00D4599C">
        <w:rPr>
          <w:lang w:val="fr-FR"/>
        </w:rPr>
        <w:t xml:space="preserve">pour la mortalité et les hospitalisations </w:t>
      </w:r>
      <w:r w:rsidR="007D0B90">
        <w:rPr>
          <w:lang w:val="fr-FR"/>
        </w:rPr>
        <w:t xml:space="preserve">sont </w:t>
      </w:r>
      <w:r w:rsidR="00CF57DD">
        <w:rPr>
          <w:lang w:val="fr-FR"/>
        </w:rPr>
        <w:t xml:space="preserve">tous deux </w:t>
      </w:r>
      <w:r w:rsidR="007D0B90">
        <w:rPr>
          <w:lang w:val="fr-FR"/>
        </w:rPr>
        <w:t>en faveur d’une réduction</w:t>
      </w:r>
      <w:r w:rsidR="00A93EC3">
        <w:rPr>
          <w:lang w:val="fr-FR"/>
        </w:rPr>
        <w:t xml:space="preserve"> et vont dans le même </w:t>
      </w:r>
      <w:r w:rsidR="00046821">
        <w:rPr>
          <w:lang w:val="fr-FR"/>
        </w:rPr>
        <w:t xml:space="preserve">sens </w:t>
      </w:r>
      <w:r w:rsidR="00A93EC3">
        <w:rPr>
          <w:lang w:val="fr-FR"/>
        </w:rPr>
        <w:t>que</w:t>
      </w:r>
      <w:r w:rsidR="00D4599C">
        <w:rPr>
          <w:lang w:val="fr-FR"/>
        </w:rPr>
        <w:t xml:space="preserve"> celui du critère composite</w:t>
      </w:r>
      <w:r w:rsidR="00CF57DD">
        <w:rPr>
          <w:lang w:val="fr-FR"/>
        </w:rPr>
        <w:t>.</w:t>
      </w:r>
      <w:r w:rsidR="007D0B90">
        <w:rPr>
          <w:lang w:val="fr-FR"/>
        </w:rPr>
        <w:t xml:space="preserve"> </w:t>
      </w:r>
    </w:p>
    <w:p w:rsidR="00CF57DD" w:rsidRPr="00CF57DD" w:rsidRDefault="00CF57DD" w:rsidP="00CF57DD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Le</w:t>
      </w:r>
      <w:r w:rsidR="00431184" w:rsidRPr="007D0B90">
        <w:rPr>
          <w:lang w:val="fr-FR"/>
        </w:rPr>
        <w:t xml:space="preserve"> résultat </w:t>
      </w:r>
      <w:r w:rsidR="00AF1177">
        <w:rPr>
          <w:lang w:val="fr-FR"/>
        </w:rPr>
        <w:t>global</w:t>
      </w:r>
      <w:r w:rsidR="00431184" w:rsidRPr="007D0B90">
        <w:rPr>
          <w:lang w:val="fr-FR"/>
        </w:rPr>
        <w:t xml:space="preserve"> ne </w:t>
      </w:r>
      <w:r>
        <w:rPr>
          <w:lang w:val="fr-FR"/>
        </w:rPr>
        <w:t>d</w:t>
      </w:r>
      <w:r w:rsidR="00431184" w:rsidRPr="007D0B90">
        <w:rPr>
          <w:lang w:val="fr-FR"/>
        </w:rPr>
        <w:t>oit pas</w:t>
      </w:r>
      <w:r>
        <w:rPr>
          <w:lang w:val="fr-FR"/>
        </w:rPr>
        <w:t xml:space="preserve"> être</w:t>
      </w:r>
      <w:r w:rsidR="00431184" w:rsidRPr="007D0B90">
        <w:rPr>
          <w:lang w:val="fr-FR"/>
        </w:rPr>
        <w:t xml:space="preserve"> « </w:t>
      </w:r>
      <w:r w:rsidR="00431184" w:rsidRPr="007D0B90">
        <w:rPr>
          <w:i/>
          <w:lang w:val="fr-FR"/>
        </w:rPr>
        <w:t>drivé</w:t>
      </w:r>
      <w:r w:rsidR="00431184" w:rsidRPr="007D0B90">
        <w:rPr>
          <w:lang w:val="fr-FR"/>
        </w:rPr>
        <w:t xml:space="preserve"> » </w:t>
      </w:r>
      <w:r w:rsidR="00232AFF" w:rsidRPr="007D0B90">
        <w:rPr>
          <w:lang w:val="fr-FR"/>
        </w:rPr>
        <w:t>essentiellement</w:t>
      </w:r>
      <w:r w:rsidR="00431184" w:rsidRPr="007D0B90">
        <w:rPr>
          <w:lang w:val="fr-FR"/>
        </w:rPr>
        <w:t xml:space="preserve"> par un de ses composants, ce qui est le cas ici : </w:t>
      </w:r>
      <w:r w:rsidR="00AF1177">
        <w:rPr>
          <w:lang w:val="fr-FR"/>
        </w:rPr>
        <w:t>il</w:t>
      </w:r>
      <w:r w:rsidR="00431184" w:rsidRPr="007D0B90">
        <w:rPr>
          <w:lang w:val="fr-FR"/>
        </w:rPr>
        <w:t xml:space="preserve"> s’explique quasi-</w:t>
      </w:r>
      <w:r w:rsidR="00AF1177">
        <w:rPr>
          <w:lang w:val="fr-FR"/>
        </w:rPr>
        <w:t>intégralement</w:t>
      </w:r>
      <w:r w:rsidR="00431184" w:rsidRPr="007D0B90">
        <w:rPr>
          <w:lang w:val="fr-FR"/>
        </w:rPr>
        <w:t xml:space="preserve"> par celui des hospitalisations, l</w:t>
      </w:r>
      <w:r>
        <w:rPr>
          <w:lang w:val="fr-FR"/>
        </w:rPr>
        <w:t>eurs</w:t>
      </w:r>
      <w:r w:rsidR="00431184" w:rsidRPr="007D0B90">
        <w:rPr>
          <w:lang w:val="fr-FR"/>
        </w:rPr>
        <w:t xml:space="preserve"> OR et IC étant</w:t>
      </w:r>
      <w:r w:rsidR="008A7AEB">
        <w:rPr>
          <w:lang w:val="fr-FR"/>
        </w:rPr>
        <w:t xml:space="preserve"> </w:t>
      </w:r>
      <w:r w:rsidR="00046821">
        <w:rPr>
          <w:lang w:val="fr-FR"/>
        </w:rPr>
        <w:t>quasiment</w:t>
      </w:r>
      <w:r w:rsidR="00D4599C">
        <w:rPr>
          <w:lang w:val="fr-FR"/>
        </w:rPr>
        <w:t xml:space="preserve"> superposables</w:t>
      </w:r>
      <w:r>
        <w:rPr>
          <w:lang w:val="fr-FR"/>
        </w:rPr>
        <w:t xml:space="preserve">. </w:t>
      </w:r>
      <w:r w:rsidR="002374B0" w:rsidRPr="007D0B90">
        <w:rPr>
          <w:lang w:val="fr-FR"/>
        </w:rPr>
        <w:t xml:space="preserve"> </w:t>
      </w:r>
    </w:p>
    <w:p w:rsidR="00222256" w:rsidRDefault="000E076B" w:rsidP="0035572E">
      <w:pPr>
        <w:jc w:val="both"/>
        <w:rPr>
          <w:lang w:val="fr-FR"/>
        </w:rPr>
      </w:pPr>
      <w:r>
        <w:rPr>
          <w:lang w:val="fr-FR"/>
        </w:rPr>
        <w:t xml:space="preserve">La </w:t>
      </w:r>
      <w:r w:rsidRPr="002762E9">
        <w:rPr>
          <w:u w:val="single"/>
          <w:lang w:val="fr-FR"/>
        </w:rPr>
        <w:t>taille de l’</w:t>
      </w:r>
      <w:r w:rsidR="00BA1DE6" w:rsidRPr="002762E9">
        <w:rPr>
          <w:u w:val="single"/>
          <w:lang w:val="fr-FR"/>
        </w:rPr>
        <w:t>effet</w:t>
      </w:r>
      <w:r w:rsidR="00BA1DE6">
        <w:rPr>
          <w:lang w:val="fr-FR"/>
        </w:rPr>
        <w:t xml:space="preserve"> </w:t>
      </w:r>
      <w:r w:rsidR="00FC4197">
        <w:rPr>
          <w:lang w:val="fr-FR"/>
        </w:rPr>
        <w:t>pour le critère composite et pour</w:t>
      </w:r>
      <w:r w:rsidR="00BA1DE6">
        <w:rPr>
          <w:lang w:val="fr-FR"/>
        </w:rPr>
        <w:t xml:space="preserve"> les hospitalisations est </w:t>
      </w:r>
      <w:r w:rsidR="00BA1DE6" w:rsidRPr="00222256">
        <w:rPr>
          <w:u w:val="single"/>
          <w:lang w:val="fr-FR"/>
        </w:rPr>
        <w:t>modérée</w:t>
      </w:r>
      <w:r w:rsidR="00BA1DE6">
        <w:rPr>
          <w:lang w:val="fr-FR"/>
        </w:rPr>
        <w:t xml:space="preserve"> (</w:t>
      </w:r>
      <w:r w:rsidR="0021291F">
        <w:rPr>
          <w:lang w:val="fr-FR"/>
        </w:rPr>
        <w:t xml:space="preserve">réduction relative </w:t>
      </w:r>
      <w:r w:rsidR="00736123">
        <w:rPr>
          <w:lang w:val="fr-FR"/>
        </w:rPr>
        <w:t>d’</w:t>
      </w:r>
      <w:proofErr w:type="spellStart"/>
      <w:r w:rsidR="00736123">
        <w:rPr>
          <w:lang w:val="fr-FR"/>
        </w:rPr>
        <w:t>odd</w:t>
      </w:r>
      <w:proofErr w:type="spellEnd"/>
      <w:r w:rsidR="00736123">
        <w:rPr>
          <w:lang w:val="fr-FR"/>
        </w:rPr>
        <w:t xml:space="preserve">-ratio </w:t>
      </w:r>
      <w:r w:rsidR="0021291F">
        <w:rPr>
          <w:lang w:val="fr-FR"/>
        </w:rPr>
        <w:t>de 2</w:t>
      </w:r>
      <w:r w:rsidR="00736123">
        <w:rPr>
          <w:lang w:val="fr-FR"/>
        </w:rPr>
        <w:t>5</w:t>
      </w:r>
      <w:r w:rsidR="0021291F">
        <w:rPr>
          <w:lang w:val="fr-FR"/>
        </w:rPr>
        <w:t xml:space="preserve"> %</w:t>
      </w:r>
      <w:r w:rsidR="00902AC5">
        <w:rPr>
          <w:lang w:val="fr-FR"/>
        </w:rPr>
        <w:t xml:space="preserve"> dans l’</w:t>
      </w:r>
      <w:r w:rsidR="00D4599C">
        <w:rPr>
          <w:lang w:val="fr-FR"/>
        </w:rPr>
        <w:t>analyse secondaire)</w:t>
      </w:r>
      <w:r w:rsidR="00046821">
        <w:rPr>
          <w:lang w:val="fr-FR"/>
        </w:rPr>
        <w:t>,</w:t>
      </w:r>
      <w:r w:rsidR="00736123">
        <w:rPr>
          <w:lang w:val="fr-FR"/>
        </w:rPr>
        <w:t xml:space="preserve"> celles</w:t>
      </w:r>
      <w:r w:rsidR="00BA1DE6">
        <w:rPr>
          <w:lang w:val="fr-FR"/>
        </w:rPr>
        <w:t xml:space="preserve"> sur la mortalité et </w:t>
      </w:r>
      <w:r w:rsidR="0021291F">
        <w:rPr>
          <w:lang w:val="fr-FR"/>
        </w:rPr>
        <w:t xml:space="preserve">sur </w:t>
      </w:r>
      <w:r w:rsidR="00BA1DE6">
        <w:rPr>
          <w:lang w:val="fr-FR"/>
        </w:rPr>
        <w:t>les intubations (</w:t>
      </w:r>
      <w:r w:rsidR="0021291F">
        <w:rPr>
          <w:lang w:val="fr-FR"/>
        </w:rPr>
        <w:t>R</w:t>
      </w:r>
      <w:r w:rsidR="00BA1DE6">
        <w:rPr>
          <w:lang w:val="fr-FR"/>
        </w:rPr>
        <w:t>OR</w:t>
      </w:r>
      <w:r w:rsidR="0021291F">
        <w:rPr>
          <w:lang w:val="fr-FR"/>
        </w:rPr>
        <w:t xml:space="preserve"> de 44 et </w:t>
      </w:r>
      <w:r w:rsidR="00736123">
        <w:rPr>
          <w:lang w:val="fr-FR"/>
        </w:rPr>
        <w:t>50 % respectivement) sont plus importantes</w:t>
      </w:r>
      <w:r w:rsidR="008B28D2">
        <w:rPr>
          <w:lang w:val="fr-FR"/>
        </w:rPr>
        <w:t xml:space="preserve"> mais non significatives</w:t>
      </w:r>
      <w:r w:rsidR="00D4599C">
        <w:rPr>
          <w:lang w:val="fr-FR"/>
        </w:rPr>
        <w:t>.</w:t>
      </w:r>
      <w:r w:rsidR="009F4970">
        <w:rPr>
          <w:lang w:val="fr-FR"/>
        </w:rPr>
        <w:t xml:space="preserve"> </w:t>
      </w:r>
      <w:r w:rsidR="00AF1177">
        <w:rPr>
          <w:lang w:val="fr-FR"/>
        </w:rPr>
        <w:t>C</w:t>
      </w:r>
      <w:r w:rsidR="009F4970">
        <w:rPr>
          <w:lang w:val="fr-FR"/>
        </w:rPr>
        <w:t>es tailles sont exprimées uniquement en valeurs relatives</w:t>
      </w:r>
      <w:r w:rsidR="00046821">
        <w:rPr>
          <w:lang w:val="fr-FR"/>
        </w:rPr>
        <w:t xml:space="preserve">, sans mention des </w:t>
      </w:r>
      <w:r w:rsidR="009F4970">
        <w:rPr>
          <w:lang w:val="fr-FR"/>
        </w:rPr>
        <w:t>valeurs absolues (</w:t>
      </w:r>
      <w:r w:rsidR="00736123">
        <w:rPr>
          <w:lang w:val="fr-FR"/>
        </w:rPr>
        <w:t xml:space="preserve">en les calculant on obtient une </w:t>
      </w:r>
      <w:r w:rsidR="009F4970">
        <w:rPr>
          <w:lang w:val="fr-FR"/>
        </w:rPr>
        <w:t xml:space="preserve">RAR </w:t>
      </w:r>
      <w:r w:rsidR="00736123">
        <w:rPr>
          <w:lang w:val="fr-FR"/>
        </w:rPr>
        <w:t>de</w:t>
      </w:r>
      <w:r w:rsidR="009F4970">
        <w:rPr>
          <w:lang w:val="fr-FR"/>
        </w:rPr>
        <w:t xml:space="preserve"> 1.4 %</w:t>
      </w:r>
      <w:r w:rsidR="00736123">
        <w:rPr>
          <w:lang w:val="fr-FR"/>
        </w:rPr>
        <w:t xml:space="preserve"> et un</w:t>
      </w:r>
      <w:r w:rsidR="009F4970">
        <w:rPr>
          <w:lang w:val="fr-FR"/>
        </w:rPr>
        <w:t xml:space="preserve"> NNT </w:t>
      </w:r>
      <w:r w:rsidR="00736123">
        <w:rPr>
          <w:lang w:val="fr-FR"/>
        </w:rPr>
        <w:t xml:space="preserve">de </w:t>
      </w:r>
      <w:r w:rsidR="009F4970">
        <w:rPr>
          <w:lang w:val="fr-FR"/>
        </w:rPr>
        <w:t xml:space="preserve">70 pour le critère composite) ce qui </w:t>
      </w:r>
      <w:r w:rsidR="00A93EC3">
        <w:rPr>
          <w:lang w:val="fr-FR"/>
        </w:rPr>
        <w:t>constitue aussi un</w:t>
      </w:r>
      <w:r w:rsidR="00116FEB">
        <w:rPr>
          <w:lang w:val="fr-FR"/>
        </w:rPr>
        <w:t xml:space="preserve"> </w:t>
      </w:r>
      <w:r w:rsidR="009F4970" w:rsidRPr="00D4599C">
        <w:rPr>
          <w:i/>
          <w:u w:val="single"/>
          <w:lang w:val="fr-FR"/>
        </w:rPr>
        <w:t>spin</w:t>
      </w:r>
      <w:r w:rsidR="009F4970" w:rsidRPr="00D4599C">
        <w:rPr>
          <w:lang w:val="fr-FR"/>
        </w:rPr>
        <w:t xml:space="preserve"> </w:t>
      </w:r>
      <w:r w:rsidR="009F4970">
        <w:rPr>
          <w:lang w:val="fr-FR"/>
        </w:rPr>
        <w:t>surtout quand il s’agit de petit</w:t>
      </w:r>
      <w:r w:rsidR="002762E9">
        <w:rPr>
          <w:lang w:val="fr-FR"/>
        </w:rPr>
        <w:t>s</w:t>
      </w:r>
      <w:r w:rsidR="009F4970">
        <w:rPr>
          <w:lang w:val="fr-FR"/>
        </w:rPr>
        <w:t xml:space="preserve"> nombre</w:t>
      </w:r>
      <w:r w:rsidR="002762E9">
        <w:rPr>
          <w:lang w:val="fr-FR"/>
        </w:rPr>
        <w:t>s</w:t>
      </w:r>
      <w:r w:rsidR="009F4970">
        <w:rPr>
          <w:lang w:val="fr-FR"/>
        </w:rPr>
        <w:t xml:space="preserve"> d’événements</w:t>
      </w:r>
      <w:r w:rsidR="00E363F8">
        <w:rPr>
          <w:lang w:val="fr-FR"/>
        </w:rPr>
        <w:t xml:space="preserve"> (3)</w:t>
      </w:r>
      <w:r w:rsidR="009F4970">
        <w:rPr>
          <w:lang w:val="fr-FR"/>
        </w:rPr>
        <w:t>.</w:t>
      </w:r>
      <w:r w:rsidR="00222256">
        <w:rPr>
          <w:lang w:val="fr-FR"/>
        </w:rPr>
        <w:t xml:space="preserve"> </w:t>
      </w:r>
      <w:r w:rsidR="00902AC5">
        <w:rPr>
          <w:lang w:val="fr-FR"/>
        </w:rPr>
        <w:t>La présentation en valeur relative est toujours plus impressionnante pour le praticien, qui pourrait même parfois culpabiliser de ne pas prescrire le traitement (</w:t>
      </w:r>
      <w:r w:rsidR="00E3365D">
        <w:rPr>
          <w:lang w:val="fr-FR"/>
        </w:rPr>
        <w:t>« </w:t>
      </w:r>
      <w:r w:rsidR="00E3365D" w:rsidRPr="00E3365D">
        <w:rPr>
          <w:i/>
          <w:lang w:val="fr-FR"/>
        </w:rPr>
        <w:t xml:space="preserve">la colchicine réduit </w:t>
      </w:r>
      <w:r w:rsidR="00991F2D">
        <w:rPr>
          <w:i/>
          <w:lang w:val="fr-FR"/>
        </w:rPr>
        <w:t>de ¼ le risque d’hospitalisation »</w:t>
      </w:r>
      <w:r w:rsidR="00E3365D">
        <w:rPr>
          <w:lang w:val="fr-FR"/>
        </w:rPr>
        <w:t>)</w:t>
      </w:r>
      <w:r w:rsidR="00902AC5">
        <w:rPr>
          <w:lang w:val="fr-FR"/>
        </w:rPr>
        <w:t xml:space="preserve">, par rapport à la présentation en valeur absolue, qui incite à plus de modération et </w:t>
      </w:r>
      <w:r w:rsidR="0037282B">
        <w:rPr>
          <w:lang w:val="fr-FR"/>
        </w:rPr>
        <w:t>suscite davantage</w:t>
      </w:r>
      <w:r w:rsidR="00902AC5">
        <w:rPr>
          <w:lang w:val="fr-FR"/>
        </w:rPr>
        <w:t xml:space="preserve"> une prise de décision partagée avec le patient</w:t>
      </w:r>
      <w:r w:rsidR="00E3365D">
        <w:rPr>
          <w:lang w:val="fr-FR"/>
        </w:rPr>
        <w:t xml:space="preserve"> (« </w:t>
      </w:r>
      <w:r w:rsidR="00E3365D" w:rsidRPr="00E3365D">
        <w:rPr>
          <w:i/>
          <w:lang w:val="fr-FR"/>
        </w:rPr>
        <w:t xml:space="preserve">il faut prescrire de la colchicine à 70 patients pour </w:t>
      </w:r>
      <w:r w:rsidR="00E3365D">
        <w:rPr>
          <w:i/>
          <w:lang w:val="fr-FR"/>
        </w:rPr>
        <w:t>qu’elle profite à 1 d’entre eux e</w:t>
      </w:r>
      <w:r w:rsidR="00991F2D">
        <w:rPr>
          <w:i/>
          <w:lang w:val="fr-FR"/>
        </w:rPr>
        <w:t>n</w:t>
      </w:r>
      <w:r w:rsidR="00E3365D">
        <w:rPr>
          <w:i/>
          <w:lang w:val="fr-FR"/>
        </w:rPr>
        <w:t xml:space="preserve"> lui </w:t>
      </w:r>
      <w:r w:rsidR="00E3365D" w:rsidRPr="00E3365D">
        <w:rPr>
          <w:i/>
          <w:lang w:val="fr-FR"/>
        </w:rPr>
        <w:t>évit</w:t>
      </w:r>
      <w:r w:rsidR="00991F2D">
        <w:rPr>
          <w:i/>
          <w:lang w:val="fr-FR"/>
        </w:rPr>
        <w:t>ant</w:t>
      </w:r>
      <w:r w:rsidR="00E3365D">
        <w:rPr>
          <w:i/>
          <w:lang w:val="fr-FR"/>
        </w:rPr>
        <w:t xml:space="preserve"> d</w:t>
      </w:r>
      <w:r w:rsidR="00991F2D">
        <w:rPr>
          <w:i/>
          <w:lang w:val="fr-FR"/>
        </w:rPr>
        <w:t xml:space="preserve">’être hospitalisé </w:t>
      </w:r>
      <w:r w:rsidR="00E3365D">
        <w:rPr>
          <w:lang w:val="fr-FR"/>
        </w:rPr>
        <w:t>»)</w:t>
      </w:r>
      <w:r w:rsidR="00902AC5">
        <w:rPr>
          <w:lang w:val="fr-FR"/>
        </w:rPr>
        <w:t>.</w:t>
      </w:r>
    </w:p>
    <w:p w:rsidR="00DB1C0E" w:rsidRDefault="00222256" w:rsidP="0035572E">
      <w:pPr>
        <w:jc w:val="both"/>
        <w:rPr>
          <w:lang w:val="fr-FR"/>
        </w:rPr>
      </w:pPr>
      <w:r>
        <w:rPr>
          <w:lang w:val="fr-FR"/>
        </w:rPr>
        <w:t xml:space="preserve">Les résultats </w:t>
      </w:r>
      <w:r w:rsidR="00820412">
        <w:rPr>
          <w:lang w:val="fr-FR"/>
        </w:rPr>
        <w:t>sont entachés</w:t>
      </w:r>
      <w:r>
        <w:rPr>
          <w:lang w:val="fr-FR"/>
        </w:rPr>
        <w:t xml:space="preserve"> d’une </w:t>
      </w:r>
      <w:r w:rsidR="00D1307C">
        <w:rPr>
          <w:lang w:val="fr-FR"/>
        </w:rPr>
        <w:t>forte</w:t>
      </w:r>
      <w:r>
        <w:rPr>
          <w:lang w:val="fr-FR"/>
        </w:rPr>
        <w:t xml:space="preserve"> </w:t>
      </w:r>
      <w:r w:rsidRPr="00222256">
        <w:rPr>
          <w:u w:val="single"/>
          <w:lang w:val="fr-FR"/>
        </w:rPr>
        <w:t>imprécision</w:t>
      </w:r>
      <w:r>
        <w:rPr>
          <w:lang w:val="fr-FR"/>
        </w:rPr>
        <w:t> </w:t>
      </w:r>
      <w:r w:rsidR="006C1897">
        <w:rPr>
          <w:lang w:val="fr-FR"/>
        </w:rPr>
        <w:t>comme en témoigne la largeur de l</w:t>
      </w:r>
      <w:r w:rsidR="00FC4197">
        <w:rPr>
          <w:lang w:val="fr-FR"/>
        </w:rPr>
        <w:t xml:space="preserve">eur </w:t>
      </w:r>
      <w:r w:rsidR="00E3365D">
        <w:rPr>
          <w:lang w:val="fr-FR"/>
        </w:rPr>
        <w:t xml:space="preserve">intervalle de confiance (IC 95%) </w:t>
      </w:r>
      <w:r>
        <w:rPr>
          <w:lang w:val="fr-FR"/>
        </w:rPr>
        <w:t xml:space="preserve">: l’efficacité </w:t>
      </w:r>
      <w:r w:rsidR="00E3365D">
        <w:rPr>
          <w:lang w:val="fr-FR"/>
        </w:rPr>
        <w:t xml:space="preserve">de 25 % </w:t>
      </w:r>
      <w:r>
        <w:rPr>
          <w:lang w:val="fr-FR"/>
        </w:rPr>
        <w:t xml:space="preserve">constatée dans l’étude </w:t>
      </w:r>
      <w:r w:rsidR="00CF2BA7">
        <w:rPr>
          <w:lang w:val="fr-FR"/>
        </w:rPr>
        <w:t>pour</w:t>
      </w:r>
      <w:r>
        <w:rPr>
          <w:lang w:val="fr-FR"/>
        </w:rPr>
        <w:t xml:space="preserve"> le critère composite </w:t>
      </w:r>
      <w:r w:rsidR="00E3365D">
        <w:rPr>
          <w:lang w:val="fr-FR"/>
        </w:rPr>
        <w:t xml:space="preserve">(analyse </w:t>
      </w:r>
      <w:r w:rsidR="00E3365D">
        <w:rPr>
          <w:lang w:val="fr-FR"/>
        </w:rPr>
        <w:lastRenderedPageBreak/>
        <w:t>secondaire) se situe</w:t>
      </w:r>
      <w:r>
        <w:rPr>
          <w:lang w:val="fr-FR"/>
        </w:rPr>
        <w:t xml:space="preserve"> quelque part entre</w:t>
      </w:r>
      <w:r w:rsidR="00E3365D">
        <w:rPr>
          <w:lang w:val="fr-FR"/>
        </w:rPr>
        <w:t xml:space="preserve"> 1% et 43%</w:t>
      </w:r>
      <w:r>
        <w:rPr>
          <w:lang w:val="fr-FR"/>
        </w:rPr>
        <w:t xml:space="preserve"> dans la réalité</w:t>
      </w:r>
      <w:r w:rsidR="00CF2BA7">
        <w:rPr>
          <w:lang w:val="fr-FR"/>
        </w:rPr>
        <w:t>. Cela</w:t>
      </w:r>
      <w:r>
        <w:rPr>
          <w:lang w:val="fr-FR"/>
        </w:rPr>
        <w:t xml:space="preserve"> </w:t>
      </w:r>
      <w:r w:rsidR="0056124E">
        <w:rPr>
          <w:lang w:val="fr-FR"/>
        </w:rPr>
        <w:t xml:space="preserve">pose </w:t>
      </w:r>
      <w:r>
        <w:rPr>
          <w:lang w:val="fr-FR"/>
        </w:rPr>
        <w:t>question</w:t>
      </w:r>
      <w:r w:rsidR="0056124E">
        <w:rPr>
          <w:lang w:val="fr-FR"/>
        </w:rPr>
        <w:t xml:space="preserve"> sur </w:t>
      </w:r>
      <w:r w:rsidR="00CF2BA7">
        <w:rPr>
          <w:lang w:val="fr-FR"/>
        </w:rPr>
        <w:t xml:space="preserve">la </w:t>
      </w:r>
      <w:r w:rsidRPr="006C1897">
        <w:rPr>
          <w:u w:val="single"/>
          <w:lang w:val="fr-FR"/>
        </w:rPr>
        <w:t>pertinence clinique</w:t>
      </w:r>
      <w:r w:rsidR="00CF2BA7">
        <w:rPr>
          <w:lang w:val="fr-FR"/>
        </w:rPr>
        <w:t xml:space="preserve"> du traitement par colchicine : il est très possible que son efficacité soit très faible voire négligeable. </w:t>
      </w:r>
      <w:r w:rsidR="006C1897">
        <w:rPr>
          <w:lang w:val="fr-FR"/>
        </w:rPr>
        <w:t xml:space="preserve">Ceci est dû à un </w:t>
      </w:r>
      <w:r w:rsidR="006C1897" w:rsidRPr="006C1897">
        <w:rPr>
          <w:u w:val="single"/>
          <w:lang w:val="fr-FR"/>
        </w:rPr>
        <w:t>manque de puissance</w:t>
      </w:r>
      <w:r w:rsidR="006C1897">
        <w:rPr>
          <w:lang w:val="fr-FR"/>
        </w:rPr>
        <w:t xml:space="preserve"> de l’étude, qui était prévue sur 6000 patients mais a été clôturée prématurément (4500 patients</w:t>
      </w:r>
      <w:r w:rsidR="00D6578B">
        <w:rPr>
          <w:lang w:val="fr-FR"/>
        </w:rPr>
        <w:t xml:space="preserve">, les ¾ </w:t>
      </w:r>
      <w:r w:rsidR="00455387">
        <w:rPr>
          <w:lang w:val="fr-FR"/>
        </w:rPr>
        <w:t>du total prévu</w:t>
      </w:r>
      <w:r w:rsidR="006C1897">
        <w:rPr>
          <w:lang w:val="fr-FR"/>
        </w:rPr>
        <w:t xml:space="preserve">) pour des raisons </w:t>
      </w:r>
      <w:r w:rsidR="000A79C8">
        <w:rPr>
          <w:lang w:val="fr-FR"/>
        </w:rPr>
        <w:t xml:space="preserve">essentiellement </w:t>
      </w:r>
      <w:r w:rsidR="006C1897">
        <w:rPr>
          <w:lang w:val="fr-FR"/>
        </w:rPr>
        <w:t>logistiques.</w:t>
      </w:r>
    </w:p>
    <w:p w:rsidR="00D1307C" w:rsidRDefault="00D1307C" w:rsidP="0035572E">
      <w:pPr>
        <w:jc w:val="both"/>
        <w:rPr>
          <w:lang w:val="fr-FR"/>
        </w:rPr>
      </w:pPr>
      <w:r>
        <w:rPr>
          <w:lang w:val="fr-FR"/>
        </w:rPr>
        <w:t>L’étude présente quelques autres problèmes mineurs :</w:t>
      </w:r>
    </w:p>
    <w:p w:rsidR="00D1307C" w:rsidRPr="00834F5D" w:rsidRDefault="00D1307C" w:rsidP="00834F5D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834F5D">
        <w:rPr>
          <w:lang w:val="fr-FR"/>
        </w:rPr>
        <w:t>Les auteurs ne donnent aucune précision sur la façon dont l’étude est randomisée</w:t>
      </w:r>
      <w:r w:rsidR="00270BAD" w:rsidRPr="00834F5D">
        <w:rPr>
          <w:lang w:val="fr-FR"/>
        </w:rPr>
        <w:t xml:space="preserve"> (randomisation centralisée ou effectuée au niveau de chaque centre ? </w:t>
      </w:r>
      <w:r w:rsidR="00FC4197">
        <w:rPr>
          <w:lang w:val="fr-FR"/>
        </w:rPr>
        <w:t xml:space="preserve">simple ou bloquée ? </w:t>
      </w:r>
      <w:r w:rsidR="00270BAD" w:rsidRPr="00834F5D">
        <w:rPr>
          <w:lang w:val="fr-FR"/>
        </w:rPr>
        <w:t>technique employée ?)</w:t>
      </w:r>
      <w:r w:rsidR="0056124E">
        <w:rPr>
          <w:lang w:val="fr-FR"/>
        </w:rPr>
        <w:t xml:space="preserve"> ni</w:t>
      </w:r>
      <w:r w:rsidR="00270BAD" w:rsidRPr="00834F5D">
        <w:rPr>
          <w:lang w:val="fr-FR"/>
        </w:rPr>
        <w:t xml:space="preserve"> </w:t>
      </w:r>
      <w:r w:rsidR="00232AFF" w:rsidRPr="00834F5D">
        <w:rPr>
          <w:lang w:val="fr-FR"/>
        </w:rPr>
        <w:t xml:space="preserve">sur </w:t>
      </w:r>
      <w:r w:rsidR="00270BAD" w:rsidRPr="00834F5D">
        <w:rPr>
          <w:lang w:val="fr-FR"/>
        </w:rPr>
        <w:t>les précautions prises pour que la séquence de randomisation reste inconnue du médecin qui inclut les patients (</w:t>
      </w:r>
      <w:r w:rsidR="00270BAD" w:rsidRPr="00834F5D">
        <w:rPr>
          <w:i/>
          <w:lang w:val="fr-FR"/>
        </w:rPr>
        <w:t xml:space="preserve">allocation </w:t>
      </w:r>
      <w:proofErr w:type="spellStart"/>
      <w:r w:rsidR="00270BAD" w:rsidRPr="00834F5D">
        <w:rPr>
          <w:i/>
          <w:lang w:val="fr-FR"/>
        </w:rPr>
        <w:t>concealment</w:t>
      </w:r>
      <w:proofErr w:type="spellEnd"/>
      <w:r w:rsidR="00232AFF" w:rsidRPr="00834F5D">
        <w:rPr>
          <w:lang w:val="fr-FR"/>
        </w:rPr>
        <w:t>)</w:t>
      </w:r>
      <w:r w:rsidR="000506B1">
        <w:rPr>
          <w:lang w:val="fr-FR"/>
        </w:rPr>
        <w:t>. Aucun détail non plus</w:t>
      </w:r>
      <w:r w:rsidR="00232AFF" w:rsidRPr="00834F5D">
        <w:rPr>
          <w:lang w:val="fr-FR"/>
        </w:rPr>
        <w:t xml:space="preserve"> sur les moyens employés pour garantir l’absence de toute différence détectable entre les comprimés de colchicine et de placebo.</w:t>
      </w:r>
      <w:r w:rsidR="00270BAD" w:rsidRPr="00834F5D">
        <w:rPr>
          <w:lang w:val="fr-FR"/>
        </w:rPr>
        <w:t xml:space="preserve"> </w:t>
      </w:r>
    </w:p>
    <w:p w:rsidR="00820412" w:rsidRPr="00834F5D" w:rsidRDefault="00D95CA1" w:rsidP="00834F5D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D’</w:t>
      </w:r>
      <w:r w:rsidR="00991F2D">
        <w:rPr>
          <w:lang w:val="fr-FR"/>
        </w:rPr>
        <w:t>après son</w:t>
      </w:r>
      <w:r w:rsidR="004F3418" w:rsidRPr="00834F5D">
        <w:rPr>
          <w:lang w:val="fr-FR"/>
        </w:rPr>
        <w:t xml:space="preserve"> protocole</w:t>
      </w:r>
      <w:r w:rsidR="00991F2D">
        <w:rPr>
          <w:lang w:val="fr-FR"/>
        </w:rPr>
        <w:t xml:space="preserve"> d’enregistrement</w:t>
      </w:r>
      <w:r>
        <w:rPr>
          <w:lang w:val="fr-FR"/>
        </w:rPr>
        <w:t xml:space="preserve"> (</w:t>
      </w:r>
      <w:proofErr w:type="spellStart"/>
      <w:r>
        <w:rPr>
          <w:lang w:val="fr-FR"/>
        </w:rPr>
        <w:t>ClinicalTrials</w:t>
      </w:r>
      <w:proofErr w:type="spellEnd"/>
      <w:r>
        <w:rPr>
          <w:lang w:val="fr-FR"/>
        </w:rPr>
        <w:t xml:space="preserve"> NCT04322682) </w:t>
      </w:r>
      <w:r w:rsidR="0056124E">
        <w:rPr>
          <w:lang w:val="fr-FR"/>
        </w:rPr>
        <w:t>l</w:t>
      </w:r>
      <w:r w:rsidR="0056124E" w:rsidRPr="00834F5D">
        <w:rPr>
          <w:lang w:val="fr-FR"/>
        </w:rPr>
        <w:t xml:space="preserve">’étude était censée être menée en triple aveugle (patient, soignant, investigateur) </w:t>
      </w:r>
      <w:r w:rsidR="004F3418" w:rsidRPr="00834F5D">
        <w:rPr>
          <w:lang w:val="fr-FR"/>
        </w:rPr>
        <w:t>mais la publication fait</w:t>
      </w:r>
      <w:r w:rsidR="000506B1">
        <w:rPr>
          <w:lang w:val="fr-FR"/>
        </w:rPr>
        <w:t>, elle,</w:t>
      </w:r>
      <w:r w:rsidR="004F3418" w:rsidRPr="00834F5D">
        <w:rPr>
          <w:lang w:val="fr-FR"/>
        </w:rPr>
        <w:t xml:space="preserve"> état de double aveugle</w:t>
      </w:r>
      <w:r w:rsidR="0056124E">
        <w:rPr>
          <w:lang w:val="fr-FR"/>
        </w:rPr>
        <w:t>.</w:t>
      </w:r>
    </w:p>
    <w:p w:rsidR="00C61EE2" w:rsidRPr="00834F5D" w:rsidRDefault="00C61EE2" w:rsidP="00834F5D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834F5D">
        <w:rPr>
          <w:lang w:val="fr-FR"/>
        </w:rPr>
        <w:t>L’étude a été réalisée « sans contacts » pour respecter les mesures sanitaires :</w:t>
      </w:r>
      <w:r w:rsidR="00392150" w:rsidRPr="00834F5D">
        <w:rPr>
          <w:lang w:val="fr-FR"/>
        </w:rPr>
        <w:t xml:space="preserve"> enrô</w:t>
      </w:r>
      <w:r w:rsidRPr="00834F5D">
        <w:rPr>
          <w:lang w:val="fr-FR"/>
        </w:rPr>
        <w:t>lement des patients par téléconsultation</w:t>
      </w:r>
      <w:r w:rsidR="00392150" w:rsidRPr="00834F5D">
        <w:rPr>
          <w:lang w:val="fr-FR"/>
        </w:rPr>
        <w:t xml:space="preserve">, livraison des traitements à domicile </w:t>
      </w:r>
      <w:r w:rsidRPr="00834F5D">
        <w:rPr>
          <w:lang w:val="fr-FR"/>
        </w:rPr>
        <w:t xml:space="preserve">et évaluation </w:t>
      </w:r>
      <w:r w:rsidR="00392150" w:rsidRPr="00834F5D">
        <w:rPr>
          <w:lang w:val="fr-FR"/>
        </w:rPr>
        <w:t>des patients à J15 et J30 par téléphone ou vidéo.</w:t>
      </w:r>
      <w:r w:rsidR="0044769B" w:rsidRPr="00834F5D">
        <w:rPr>
          <w:lang w:val="fr-FR"/>
        </w:rPr>
        <w:t xml:space="preserve"> La méthode est </w:t>
      </w:r>
      <w:r w:rsidR="0037282B">
        <w:rPr>
          <w:lang w:val="fr-FR"/>
        </w:rPr>
        <w:t xml:space="preserve">novatrice et </w:t>
      </w:r>
      <w:r w:rsidR="0044769B" w:rsidRPr="00834F5D">
        <w:rPr>
          <w:lang w:val="fr-FR"/>
        </w:rPr>
        <w:t xml:space="preserve">séduisante mais </w:t>
      </w:r>
      <w:r w:rsidR="00834F5D">
        <w:rPr>
          <w:lang w:val="fr-FR"/>
        </w:rPr>
        <w:t xml:space="preserve">on peut se demander, par exemple, </w:t>
      </w:r>
      <w:r w:rsidR="00013261">
        <w:rPr>
          <w:lang w:val="fr-FR"/>
        </w:rPr>
        <w:t>dans quelle mesure</w:t>
      </w:r>
      <w:r w:rsidR="0044769B" w:rsidRPr="00834F5D">
        <w:rPr>
          <w:lang w:val="fr-FR"/>
        </w:rPr>
        <w:t xml:space="preserve"> les investigateurs</w:t>
      </w:r>
      <w:r w:rsidR="00834F5D">
        <w:rPr>
          <w:lang w:val="fr-FR"/>
        </w:rPr>
        <w:t xml:space="preserve"> ont pu</w:t>
      </w:r>
      <w:r w:rsidR="0044769B" w:rsidRPr="00834F5D">
        <w:rPr>
          <w:lang w:val="fr-FR"/>
        </w:rPr>
        <w:t xml:space="preserve"> vérifier la</w:t>
      </w:r>
      <w:r w:rsidR="00013261">
        <w:rPr>
          <w:lang w:val="fr-FR"/>
        </w:rPr>
        <w:t xml:space="preserve"> présence</w:t>
      </w:r>
      <w:r w:rsidR="0044769B" w:rsidRPr="00834F5D">
        <w:rPr>
          <w:lang w:val="fr-FR"/>
        </w:rPr>
        <w:t xml:space="preserve"> de facteurs de risque de complications (</w:t>
      </w:r>
      <w:r w:rsidR="00FC4197">
        <w:rPr>
          <w:lang w:val="fr-FR"/>
        </w:rPr>
        <w:t xml:space="preserve">mesure </w:t>
      </w:r>
      <w:r w:rsidR="0044769B" w:rsidRPr="00834F5D">
        <w:rPr>
          <w:lang w:val="fr-FR"/>
        </w:rPr>
        <w:t>de la tension artérielle, mesure du poids/taille, HbA1c, fonction respiratoire</w:t>
      </w:r>
      <w:r w:rsidR="00013261">
        <w:rPr>
          <w:lang w:val="fr-FR"/>
        </w:rPr>
        <w:t>,…</w:t>
      </w:r>
      <w:r w:rsidR="0044769B" w:rsidRPr="00834F5D">
        <w:rPr>
          <w:lang w:val="fr-FR"/>
        </w:rPr>
        <w:t>)</w:t>
      </w:r>
      <w:r w:rsidR="00DC7308" w:rsidRPr="00834F5D">
        <w:rPr>
          <w:lang w:val="fr-FR"/>
        </w:rPr>
        <w:t> ?</w:t>
      </w:r>
      <w:r w:rsidR="0044769B" w:rsidRPr="00834F5D">
        <w:rPr>
          <w:lang w:val="fr-FR"/>
        </w:rPr>
        <w:t xml:space="preserve"> </w:t>
      </w:r>
      <w:r w:rsidR="00DC7308" w:rsidRPr="00834F5D">
        <w:rPr>
          <w:lang w:val="fr-FR"/>
        </w:rPr>
        <w:t>Les erreurs qui en découleraient pourraient</w:t>
      </w:r>
      <w:r w:rsidR="0044769B" w:rsidRPr="00834F5D">
        <w:rPr>
          <w:lang w:val="fr-FR"/>
        </w:rPr>
        <w:t xml:space="preserve"> poser</w:t>
      </w:r>
      <w:r w:rsidR="00DC7308" w:rsidRPr="00834F5D">
        <w:rPr>
          <w:lang w:val="fr-FR"/>
        </w:rPr>
        <w:t xml:space="preserve"> un</w:t>
      </w:r>
      <w:r w:rsidR="0044769B" w:rsidRPr="00834F5D">
        <w:rPr>
          <w:lang w:val="fr-FR"/>
        </w:rPr>
        <w:t xml:space="preserve"> problème pour </w:t>
      </w:r>
      <w:r w:rsidR="00991F2D">
        <w:rPr>
          <w:lang w:val="fr-FR"/>
        </w:rPr>
        <w:t>l</w:t>
      </w:r>
      <w:r w:rsidR="0037282B">
        <w:rPr>
          <w:lang w:val="fr-FR"/>
        </w:rPr>
        <w:t>’</w:t>
      </w:r>
      <w:r w:rsidR="00834F5D">
        <w:rPr>
          <w:lang w:val="fr-FR"/>
        </w:rPr>
        <w:t xml:space="preserve">applicabilité </w:t>
      </w:r>
      <w:r w:rsidR="0037282B">
        <w:rPr>
          <w:lang w:val="fr-FR"/>
        </w:rPr>
        <w:t xml:space="preserve">des résultats </w:t>
      </w:r>
      <w:r w:rsidR="00834F5D">
        <w:rPr>
          <w:lang w:val="fr-FR"/>
        </w:rPr>
        <w:t>à</w:t>
      </w:r>
      <w:r w:rsidR="0044769B" w:rsidRPr="00834F5D">
        <w:rPr>
          <w:lang w:val="fr-FR"/>
        </w:rPr>
        <w:t xml:space="preserve"> l’ensemble des patients covid-19 à risque </w:t>
      </w:r>
      <w:r w:rsidR="00DC7308" w:rsidRPr="00834F5D">
        <w:rPr>
          <w:lang w:val="fr-FR"/>
        </w:rPr>
        <w:t>de complication</w:t>
      </w:r>
      <w:r w:rsidR="0037282B">
        <w:rPr>
          <w:lang w:val="fr-FR"/>
        </w:rPr>
        <w:t>,</w:t>
      </w:r>
      <w:r w:rsidR="00DC7308" w:rsidRPr="00834F5D">
        <w:rPr>
          <w:lang w:val="fr-FR"/>
        </w:rPr>
        <w:t xml:space="preserve"> mais</w:t>
      </w:r>
      <w:r w:rsidR="000609DC" w:rsidRPr="00834F5D">
        <w:rPr>
          <w:lang w:val="fr-FR"/>
        </w:rPr>
        <w:t xml:space="preserve"> elles </w:t>
      </w:r>
      <w:r w:rsidR="00DC7308" w:rsidRPr="00834F5D">
        <w:rPr>
          <w:lang w:val="fr-FR"/>
        </w:rPr>
        <w:t>ne sont pas susceptibles de remettre en cause leur fiabilité : elles ne sont pas source de biais</w:t>
      </w:r>
      <w:r w:rsidR="00834F5D">
        <w:rPr>
          <w:lang w:val="fr-FR"/>
        </w:rPr>
        <w:t xml:space="preserve"> car </w:t>
      </w:r>
      <w:r w:rsidR="00DC7308" w:rsidRPr="00834F5D">
        <w:rPr>
          <w:lang w:val="fr-FR"/>
        </w:rPr>
        <w:t xml:space="preserve">il n’y a aucune raison </w:t>
      </w:r>
      <w:r w:rsidR="00FC4197">
        <w:rPr>
          <w:lang w:val="fr-FR"/>
        </w:rPr>
        <w:t xml:space="preserve">de penser </w:t>
      </w:r>
      <w:r w:rsidR="00DC7308" w:rsidRPr="00834F5D">
        <w:rPr>
          <w:lang w:val="fr-FR"/>
        </w:rPr>
        <w:t xml:space="preserve">qu’elles </w:t>
      </w:r>
      <w:r w:rsidR="00013261">
        <w:rPr>
          <w:lang w:val="fr-FR"/>
        </w:rPr>
        <w:t xml:space="preserve">puissent </w:t>
      </w:r>
      <w:r w:rsidR="00DC7308" w:rsidRPr="00834F5D">
        <w:rPr>
          <w:lang w:val="fr-FR"/>
        </w:rPr>
        <w:t>affecte</w:t>
      </w:r>
      <w:r w:rsidR="00013261">
        <w:rPr>
          <w:lang w:val="fr-FR"/>
        </w:rPr>
        <w:t>r</w:t>
      </w:r>
      <w:r w:rsidR="00DC7308" w:rsidRPr="00834F5D">
        <w:rPr>
          <w:lang w:val="fr-FR"/>
        </w:rPr>
        <w:t xml:space="preserve"> de façon différentielle les patients d</w:t>
      </w:r>
      <w:r w:rsidR="00834F5D">
        <w:rPr>
          <w:lang w:val="fr-FR"/>
        </w:rPr>
        <w:t>es deux</w:t>
      </w:r>
      <w:r w:rsidR="00DC7308" w:rsidRPr="00834F5D">
        <w:rPr>
          <w:lang w:val="fr-FR"/>
        </w:rPr>
        <w:t xml:space="preserve"> bras de l’étude</w:t>
      </w:r>
      <w:r w:rsidR="00834F5D">
        <w:rPr>
          <w:lang w:val="fr-FR"/>
        </w:rPr>
        <w:t xml:space="preserve">. </w:t>
      </w:r>
    </w:p>
    <w:p w:rsidR="008418BE" w:rsidRPr="00834F5D" w:rsidRDefault="008418BE" w:rsidP="00834F5D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834F5D">
        <w:rPr>
          <w:lang w:val="fr-FR"/>
        </w:rPr>
        <w:t>L’analyse des résultats est présentée comme réalisée en ITT (</w:t>
      </w:r>
      <w:r w:rsidR="00FC4197">
        <w:rPr>
          <w:lang w:val="fr-FR"/>
        </w:rPr>
        <w:t xml:space="preserve">intention de traiter, prise en compte de </w:t>
      </w:r>
      <w:r w:rsidRPr="00834F5D">
        <w:rPr>
          <w:lang w:val="fr-FR"/>
        </w:rPr>
        <w:t xml:space="preserve">tous les patients randomisés) mais </w:t>
      </w:r>
      <w:r w:rsidR="00A14FCB">
        <w:rPr>
          <w:lang w:val="fr-FR"/>
        </w:rPr>
        <w:t>a été</w:t>
      </w:r>
      <w:r w:rsidRPr="00834F5D">
        <w:rPr>
          <w:lang w:val="fr-FR"/>
        </w:rPr>
        <w:t xml:space="preserve"> en fait réalisée en ITT modifiée (</w:t>
      </w:r>
      <w:proofErr w:type="spellStart"/>
      <w:r w:rsidRPr="00834F5D">
        <w:rPr>
          <w:lang w:val="fr-FR"/>
        </w:rPr>
        <w:t>mITT</w:t>
      </w:r>
      <w:proofErr w:type="spellEnd"/>
      <w:r w:rsidRPr="00834F5D">
        <w:rPr>
          <w:lang w:val="fr-FR"/>
        </w:rPr>
        <w:t xml:space="preserve">) : exclusion de 18 patients n’ayant pris aucune dose du traitement (ce qui est communément admis) ou </w:t>
      </w:r>
      <w:r w:rsidR="005613A0" w:rsidRPr="00834F5D">
        <w:rPr>
          <w:lang w:val="fr-FR"/>
        </w:rPr>
        <w:t>s’étant avérés inéligibles</w:t>
      </w:r>
      <w:r w:rsidR="00CA4F2E">
        <w:rPr>
          <w:lang w:val="fr-FR"/>
        </w:rPr>
        <w:t xml:space="preserve"> ultérieurement en cours d’étude</w:t>
      </w:r>
      <w:r w:rsidRPr="00834F5D">
        <w:rPr>
          <w:lang w:val="fr-FR"/>
        </w:rPr>
        <w:t xml:space="preserve"> </w:t>
      </w:r>
      <w:r w:rsidR="005613A0" w:rsidRPr="00834F5D">
        <w:rPr>
          <w:lang w:val="fr-FR"/>
        </w:rPr>
        <w:t>(ce qui ne l’est pas)</w:t>
      </w:r>
      <w:r w:rsidR="00DD5433">
        <w:rPr>
          <w:lang w:val="fr-FR"/>
        </w:rPr>
        <w:t xml:space="preserve"> (</w:t>
      </w:r>
      <w:r w:rsidR="00E363F8">
        <w:rPr>
          <w:lang w:val="fr-FR"/>
        </w:rPr>
        <w:t>4</w:t>
      </w:r>
      <w:r w:rsidR="00DD5433">
        <w:rPr>
          <w:lang w:val="fr-FR"/>
        </w:rPr>
        <w:t>)</w:t>
      </w:r>
      <w:r w:rsidR="005613A0" w:rsidRPr="00834F5D">
        <w:rPr>
          <w:lang w:val="fr-FR"/>
        </w:rPr>
        <w:t>. Vu le petit nombre de patients concernés il est néanmoins improbable que cela ait pu biaiser les résultats.</w:t>
      </w:r>
    </w:p>
    <w:p w:rsidR="00D1307C" w:rsidRDefault="004F3418" w:rsidP="0035572E">
      <w:pPr>
        <w:jc w:val="both"/>
        <w:rPr>
          <w:lang w:val="fr-FR"/>
        </w:rPr>
      </w:pPr>
      <w:r w:rsidRPr="00921648">
        <w:rPr>
          <w:b/>
          <w:lang w:val="fr-FR"/>
        </w:rPr>
        <w:t xml:space="preserve">En résumé, cette étude </w:t>
      </w:r>
      <w:r w:rsidR="00013261">
        <w:rPr>
          <w:b/>
          <w:lang w:val="fr-FR"/>
        </w:rPr>
        <w:t>randomisée multicentrique portant sur un grand nombre de patients</w:t>
      </w:r>
      <w:r w:rsidRPr="00921648">
        <w:rPr>
          <w:b/>
          <w:lang w:val="fr-FR"/>
        </w:rPr>
        <w:t xml:space="preserve"> e</w:t>
      </w:r>
      <w:r w:rsidR="000844C1" w:rsidRPr="00921648">
        <w:rPr>
          <w:b/>
          <w:lang w:val="fr-FR"/>
        </w:rPr>
        <w:t>s</w:t>
      </w:r>
      <w:r w:rsidRPr="00921648">
        <w:rPr>
          <w:b/>
          <w:lang w:val="fr-FR"/>
        </w:rPr>
        <w:t>t de qualité méthodologique globalement satisfaisante</w:t>
      </w:r>
      <w:r w:rsidR="000844C1" w:rsidRPr="00921648">
        <w:rPr>
          <w:b/>
          <w:lang w:val="fr-FR"/>
        </w:rPr>
        <w:t xml:space="preserve"> mais</w:t>
      </w:r>
      <w:r w:rsidRPr="00921648">
        <w:rPr>
          <w:b/>
          <w:lang w:val="fr-FR"/>
        </w:rPr>
        <w:t xml:space="preserve"> </w:t>
      </w:r>
      <w:r w:rsidR="00D13A64" w:rsidRPr="00921648">
        <w:rPr>
          <w:b/>
          <w:lang w:val="fr-FR"/>
        </w:rPr>
        <w:t>ne permet certainement pas d</w:t>
      </w:r>
      <w:r w:rsidR="00C96854">
        <w:rPr>
          <w:b/>
          <w:lang w:val="fr-FR"/>
        </w:rPr>
        <w:t>e conclure à</w:t>
      </w:r>
      <w:r w:rsidR="00D13A64" w:rsidRPr="00921648">
        <w:rPr>
          <w:b/>
          <w:lang w:val="fr-FR"/>
        </w:rPr>
        <w:t xml:space="preserve"> l’efficacité d</w:t>
      </w:r>
      <w:r w:rsidR="00921648">
        <w:rPr>
          <w:b/>
          <w:lang w:val="fr-FR"/>
        </w:rPr>
        <w:t>e l’administration précoce de</w:t>
      </w:r>
      <w:r w:rsidR="00D13A64" w:rsidRPr="00921648">
        <w:rPr>
          <w:b/>
          <w:lang w:val="fr-FR"/>
        </w:rPr>
        <w:t xml:space="preserve"> colchicine sur la mortalité des patients covid-19 présentant un facteur de risque de complication et traités en ambulatoire. Elle suggère néanmoins une efficacité modeste </w:t>
      </w:r>
      <w:r w:rsidR="00921648" w:rsidRPr="00921648">
        <w:rPr>
          <w:b/>
          <w:lang w:val="fr-FR"/>
        </w:rPr>
        <w:t xml:space="preserve">et peu précise </w:t>
      </w:r>
      <w:r w:rsidR="00D13A64" w:rsidRPr="00921648">
        <w:rPr>
          <w:b/>
          <w:lang w:val="fr-FR"/>
        </w:rPr>
        <w:t xml:space="preserve">sur leur taux d’hospitalisation, </w:t>
      </w:r>
      <w:r w:rsidR="00834F5D">
        <w:rPr>
          <w:b/>
          <w:lang w:val="fr-FR"/>
        </w:rPr>
        <w:t xml:space="preserve">mais </w:t>
      </w:r>
      <w:r w:rsidR="00D13A64" w:rsidRPr="00921648">
        <w:rPr>
          <w:b/>
          <w:lang w:val="fr-FR"/>
        </w:rPr>
        <w:t>sur base d</w:t>
      </w:r>
      <w:r w:rsidR="00013261">
        <w:rPr>
          <w:b/>
          <w:lang w:val="fr-FR"/>
        </w:rPr>
        <w:t xml:space="preserve">’une </w:t>
      </w:r>
      <w:r w:rsidR="00D13A64" w:rsidRPr="00921648">
        <w:rPr>
          <w:b/>
          <w:lang w:val="fr-FR"/>
        </w:rPr>
        <w:t xml:space="preserve">analyse </w:t>
      </w:r>
      <w:r w:rsidR="0037282B">
        <w:rPr>
          <w:b/>
          <w:lang w:val="fr-FR"/>
        </w:rPr>
        <w:t>secondaire potentiellement biaisée et</w:t>
      </w:r>
      <w:r w:rsidR="00921648" w:rsidRPr="00921648">
        <w:rPr>
          <w:b/>
          <w:lang w:val="fr-FR"/>
        </w:rPr>
        <w:t xml:space="preserve"> </w:t>
      </w:r>
      <w:r w:rsidR="006A629A">
        <w:rPr>
          <w:b/>
          <w:lang w:val="fr-FR"/>
        </w:rPr>
        <w:t>utilisant</w:t>
      </w:r>
      <w:r w:rsidR="00921648" w:rsidRPr="00921648">
        <w:rPr>
          <w:b/>
          <w:lang w:val="fr-FR"/>
        </w:rPr>
        <w:t xml:space="preserve"> un critère d’efficacité composite inadapté</w:t>
      </w:r>
      <w:r w:rsidR="00D13A64" w:rsidRPr="00921648">
        <w:rPr>
          <w:b/>
          <w:lang w:val="fr-FR"/>
        </w:rPr>
        <w:t xml:space="preserve">. </w:t>
      </w:r>
      <w:r w:rsidR="00A70658">
        <w:rPr>
          <w:b/>
          <w:lang w:val="fr-FR"/>
        </w:rPr>
        <w:t xml:space="preserve">Les auteurs </w:t>
      </w:r>
      <w:r w:rsidR="00E363F8">
        <w:rPr>
          <w:b/>
          <w:lang w:val="fr-FR"/>
        </w:rPr>
        <w:t>présentent leurs conclusions</w:t>
      </w:r>
      <w:r w:rsidR="00A32061">
        <w:rPr>
          <w:b/>
          <w:lang w:val="fr-FR"/>
        </w:rPr>
        <w:t xml:space="preserve"> de manière trompeuse</w:t>
      </w:r>
      <w:r w:rsidR="00E363F8">
        <w:rPr>
          <w:b/>
          <w:lang w:val="fr-FR"/>
        </w:rPr>
        <w:t xml:space="preserve">. </w:t>
      </w:r>
      <w:r w:rsidR="00D13A64" w:rsidRPr="00921648">
        <w:rPr>
          <w:b/>
          <w:lang w:val="fr-FR"/>
        </w:rPr>
        <w:t xml:space="preserve">Il </w:t>
      </w:r>
      <w:r w:rsidR="00921648" w:rsidRPr="00921648">
        <w:rPr>
          <w:b/>
          <w:lang w:val="fr-FR"/>
        </w:rPr>
        <w:t xml:space="preserve">est nécessaire </w:t>
      </w:r>
      <w:r w:rsidR="00DA5E8F">
        <w:rPr>
          <w:b/>
          <w:lang w:val="fr-FR"/>
        </w:rPr>
        <w:t>d</w:t>
      </w:r>
      <w:r w:rsidR="00921648" w:rsidRPr="00921648">
        <w:rPr>
          <w:b/>
          <w:lang w:val="fr-FR"/>
        </w:rPr>
        <w:t>’attendre les résultats</w:t>
      </w:r>
      <w:r w:rsidR="000844C1" w:rsidRPr="00921648">
        <w:rPr>
          <w:b/>
          <w:lang w:val="fr-FR"/>
        </w:rPr>
        <w:t xml:space="preserve"> </w:t>
      </w:r>
      <w:r w:rsidR="00921648" w:rsidRPr="00921648">
        <w:rPr>
          <w:b/>
          <w:lang w:val="fr-FR"/>
        </w:rPr>
        <w:t>d</w:t>
      </w:r>
      <w:r w:rsidR="000844C1" w:rsidRPr="00921648">
        <w:rPr>
          <w:b/>
          <w:lang w:val="fr-FR"/>
        </w:rPr>
        <w:t>e</w:t>
      </w:r>
      <w:r w:rsidR="00DA5E8F">
        <w:rPr>
          <w:b/>
          <w:lang w:val="fr-FR"/>
        </w:rPr>
        <w:t xml:space="preserve"> la dizaine d’</w:t>
      </w:r>
      <w:r w:rsidR="000844C1" w:rsidRPr="00921648">
        <w:rPr>
          <w:b/>
          <w:lang w:val="fr-FR"/>
        </w:rPr>
        <w:t>autres études actuellement en cours sur l</w:t>
      </w:r>
      <w:r w:rsidR="00921648" w:rsidRPr="00921648">
        <w:rPr>
          <w:b/>
          <w:lang w:val="fr-FR"/>
        </w:rPr>
        <w:t>e même sujet</w:t>
      </w:r>
      <w:r w:rsidR="00921648">
        <w:rPr>
          <w:lang w:val="fr-FR"/>
        </w:rPr>
        <w:t>.</w:t>
      </w:r>
      <w:r>
        <w:rPr>
          <w:lang w:val="fr-FR"/>
        </w:rPr>
        <w:t xml:space="preserve"> </w:t>
      </w:r>
    </w:p>
    <w:p w:rsidR="00DB1C0E" w:rsidRDefault="00DB1C0E" w:rsidP="0035572E">
      <w:pPr>
        <w:jc w:val="both"/>
        <w:rPr>
          <w:lang w:val="fr-FR"/>
        </w:rPr>
      </w:pPr>
    </w:p>
    <w:p w:rsidR="00DB1C0E" w:rsidRDefault="00C96854" w:rsidP="00C96854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Baudouin DENIS</w:t>
      </w:r>
    </w:p>
    <w:p w:rsidR="00A14FCB" w:rsidRDefault="00C96854" w:rsidP="00C96854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Médecin</w:t>
      </w:r>
      <w:r w:rsidR="00A14FCB">
        <w:rPr>
          <w:lang w:val="fr-FR"/>
        </w:rPr>
        <w:t>e Générale</w:t>
      </w:r>
    </w:p>
    <w:p w:rsidR="00C96854" w:rsidRDefault="00A14FCB" w:rsidP="00C96854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Ancien formateur au CEBAM (Centre Belge d’</w:t>
      </w:r>
      <w:proofErr w:type="spellStart"/>
      <w:r>
        <w:rPr>
          <w:lang w:val="fr-FR"/>
        </w:rPr>
        <w:t>Evidence-based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Medicine</w:t>
      </w:r>
      <w:proofErr w:type="spellEnd"/>
      <w:r>
        <w:rPr>
          <w:lang w:val="fr-FR"/>
        </w:rPr>
        <w:t>)</w:t>
      </w:r>
      <w:bookmarkStart w:id="0" w:name="_GoBack"/>
      <w:bookmarkEnd w:id="0"/>
    </w:p>
    <w:p w:rsidR="00A14FCB" w:rsidRDefault="00A70658" w:rsidP="00C96854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0</w:t>
      </w:r>
      <w:r w:rsidR="002148D1">
        <w:rPr>
          <w:lang w:val="fr-FR"/>
        </w:rPr>
        <w:t>2</w:t>
      </w:r>
      <w:r w:rsidR="00A14FCB">
        <w:rPr>
          <w:lang w:val="fr-FR"/>
        </w:rPr>
        <w:t>.0</w:t>
      </w:r>
      <w:r>
        <w:rPr>
          <w:lang w:val="fr-FR"/>
        </w:rPr>
        <w:t>2</w:t>
      </w:r>
      <w:r w:rsidR="00A14FCB">
        <w:rPr>
          <w:lang w:val="fr-FR"/>
        </w:rPr>
        <w:t>.2021</w:t>
      </w:r>
    </w:p>
    <w:p w:rsidR="006832FC" w:rsidRDefault="006832FC" w:rsidP="0035572E">
      <w:pPr>
        <w:jc w:val="both"/>
        <w:rPr>
          <w:lang w:val="fr-FR"/>
        </w:rPr>
      </w:pPr>
    </w:p>
    <w:p w:rsidR="00D95CA1" w:rsidRDefault="00D95CA1" w:rsidP="0035572E">
      <w:pPr>
        <w:jc w:val="both"/>
        <w:rPr>
          <w:lang w:val="fr-FR"/>
        </w:rPr>
      </w:pPr>
    </w:p>
    <w:p w:rsidR="000506B1" w:rsidRDefault="000506B1" w:rsidP="0035572E">
      <w:pPr>
        <w:jc w:val="both"/>
        <w:rPr>
          <w:lang w:val="fr-FR"/>
        </w:rPr>
      </w:pPr>
      <w:r>
        <w:rPr>
          <w:lang w:val="fr-FR"/>
        </w:rPr>
        <w:lastRenderedPageBreak/>
        <w:t>Références</w:t>
      </w:r>
    </w:p>
    <w:p w:rsidR="00CA4F2E" w:rsidRDefault="00CA4F2E" w:rsidP="00CA4F2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31F20"/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Pr="00E363F8">
        <w:rPr>
          <w:rFonts w:asciiTheme="majorHAnsi" w:hAnsiTheme="majorHAnsi" w:cstheme="majorHAnsi"/>
          <w:sz w:val="20"/>
          <w:szCs w:val="20"/>
        </w:rPr>
        <w:t>Boutron</w:t>
      </w:r>
      <w:proofErr w:type="spellEnd"/>
      <w:r w:rsidRPr="00E363F8">
        <w:rPr>
          <w:rFonts w:asciiTheme="majorHAnsi" w:hAnsiTheme="majorHAnsi" w:cstheme="majorHAnsi"/>
          <w:sz w:val="20"/>
          <w:szCs w:val="20"/>
        </w:rPr>
        <w:t xml:space="preserve"> I,</w:t>
      </w:r>
      <w:r w:rsidR="00E363F8" w:rsidRPr="00E363F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E363F8" w:rsidRPr="00E363F8">
        <w:rPr>
          <w:rFonts w:asciiTheme="majorHAnsi" w:hAnsiTheme="majorHAnsi" w:cstheme="majorHAnsi"/>
          <w:sz w:val="20"/>
          <w:szCs w:val="20"/>
        </w:rPr>
        <w:t>Dutton</w:t>
      </w:r>
      <w:proofErr w:type="spellEnd"/>
      <w:r w:rsidR="00E363F8" w:rsidRPr="00E363F8">
        <w:rPr>
          <w:rFonts w:asciiTheme="majorHAnsi" w:hAnsiTheme="majorHAnsi" w:cstheme="majorHAnsi"/>
          <w:sz w:val="20"/>
          <w:szCs w:val="20"/>
        </w:rPr>
        <w:t xml:space="preserve"> S, </w:t>
      </w:r>
      <w:proofErr w:type="spellStart"/>
      <w:r w:rsidR="00E363F8" w:rsidRPr="00E363F8">
        <w:rPr>
          <w:rFonts w:asciiTheme="majorHAnsi" w:hAnsiTheme="majorHAnsi" w:cstheme="majorHAnsi"/>
          <w:sz w:val="20"/>
          <w:szCs w:val="20"/>
        </w:rPr>
        <w:t>Ravaud</w:t>
      </w:r>
      <w:proofErr w:type="spellEnd"/>
      <w:r w:rsidR="00E363F8" w:rsidRPr="00E363F8">
        <w:rPr>
          <w:rFonts w:asciiTheme="majorHAnsi" w:hAnsiTheme="majorHAnsi" w:cstheme="majorHAnsi"/>
          <w:sz w:val="20"/>
          <w:szCs w:val="20"/>
        </w:rPr>
        <w:t xml:space="preserve"> P et al.</w:t>
      </w:r>
      <w:r w:rsidRPr="00E363F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363F8">
        <w:rPr>
          <w:rFonts w:asciiTheme="majorHAnsi" w:hAnsiTheme="majorHAnsi" w:cstheme="majorHAnsi"/>
          <w:bCs/>
          <w:color w:val="231F20"/>
          <w:sz w:val="20"/>
          <w:szCs w:val="20"/>
        </w:rPr>
        <w:t>Reporting</w:t>
      </w:r>
      <w:proofErr w:type="spellEnd"/>
      <w:r w:rsidRPr="00E363F8">
        <w:rPr>
          <w:rFonts w:asciiTheme="majorHAnsi" w:hAnsiTheme="majorHAnsi" w:cstheme="majorHAnsi"/>
          <w:bCs/>
          <w:color w:val="231F20"/>
          <w:sz w:val="20"/>
          <w:szCs w:val="20"/>
        </w:rPr>
        <w:t xml:space="preserve"> and </w:t>
      </w:r>
      <w:proofErr w:type="spellStart"/>
      <w:r w:rsidRPr="00E363F8">
        <w:rPr>
          <w:rFonts w:asciiTheme="majorHAnsi" w:hAnsiTheme="majorHAnsi" w:cstheme="majorHAnsi"/>
          <w:bCs/>
          <w:color w:val="231F20"/>
          <w:sz w:val="20"/>
          <w:szCs w:val="20"/>
        </w:rPr>
        <w:t>Interpretation</w:t>
      </w:r>
      <w:proofErr w:type="spellEnd"/>
      <w:r w:rsidRPr="00E363F8">
        <w:rPr>
          <w:rFonts w:asciiTheme="majorHAnsi" w:hAnsiTheme="majorHAnsi" w:cstheme="majorHAnsi"/>
          <w:bCs/>
          <w:color w:val="231F20"/>
          <w:sz w:val="20"/>
          <w:szCs w:val="20"/>
        </w:rPr>
        <w:t xml:space="preserve"> of </w:t>
      </w:r>
      <w:proofErr w:type="spellStart"/>
      <w:r w:rsidRPr="00E363F8">
        <w:rPr>
          <w:rFonts w:asciiTheme="majorHAnsi" w:hAnsiTheme="majorHAnsi" w:cstheme="majorHAnsi"/>
          <w:bCs/>
          <w:color w:val="231F20"/>
          <w:sz w:val="20"/>
          <w:szCs w:val="20"/>
        </w:rPr>
        <w:t>Randomized</w:t>
      </w:r>
      <w:proofErr w:type="spellEnd"/>
      <w:r w:rsidRPr="00E363F8">
        <w:rPr>
          <w:rFonts w:asciiTheme="majorHAnsi" w:hAnsiTheme="majorHAnsi" w:cstheme="majorHAnsi"/>
          <w:bCs/>
          <w:color w:val="231F20"/>
          <w:sz w:val="20"/>
          <w:szCs w:val="20"/>
        </w:rPr>
        <w:t xml:space="preserve"> </w:t>
      </w:r>
      <w:proofErr w:type="spellStart"/>
      <w:r w:rsidRPr="00E363F8">
        <w:rPr>
          <w:rFonts w:asciiTheme="majorHAnsi" w:hAnsiTheme="majorHAnsi" w:cstheme="majorHAnsi"/>
          <w:bCs/>
          <w:color w:val="231F20"/>
          <w:sz w:val="20"/>
          <w:szCs w:val="20"/>
        </w:rPr>
        <w:t>Controlled</w:t>
      </w:r>
      <w:proofErr w:type="spellEnd"/>
      <w:r w:rsidRPr="00E363F8">
        <w:rPr>
          <w:rFonts w:asciiTheme="majorHAnsi" w:hAnsiTheme="majorHAnsi" w:cstheme="majorHAnsi"/>
          <w:bCs/>
          <w:color w:val="231F20"/>
          <w:sz w:val="20"/>
          <w:szCs w:val="20"/>
        </w:rPr>
        <w:t xml:space="preserve"> Trials </w:t>
      </w:r>
      <w:proofErr w:type="spellStart"/>
      <w:r w:rsidRPr="00E363F8">
        <w:rPr>
          <w:rFonts w:asciiTheme="majorHAnsi" w:hAnsiTheme="majorHAnsi" w:cstheme="majorHAnsi"/>
          <w:bCs/>
          <w:color w:val="231F20"/>
          <w:sz w:val="20"/>
          <w:szCs w:val="20"/>
        </w:rPr>
        <w:t>With</w:t>
      </w:r>
      <w:proofErr w:type="spellEnd"/>
      <w:r w:rsidRPr="00E363F8">
        <w:rPr>
          <w:rFonts w:asciiTheme="majorHAnsi" w:hAnsiTheme="majorHAnsi" w:cstheme="majorHAnsi"/>
          <w:bCs/>
          <w:color w:val="231F20"/>
          <w:sz w:val="20"/>
          <w:szCs w:val="20"/>
        </w:rPr>
        <w:t xml:space="preserve"> </w:t>
      </w:r>
      <w:proofErr w:type="spellStart"/>
      <w:r w:rsidRPr="00E363F8">
        <w:rPr>
          <w:rFonts w:asciiTheme="majorHAnsi" w:hAnsiTheme="majorHAnsi" w:cstheme="majorHAnsi"/>
          <w:bCs/>
          <w:color w:val="231F20"/>
          <w:sz w:val="20"/>
          <w:szCs w:val="20"/>
        </w:rPr>
        <w:t>Statistically</w:t>
      </w:r>
      <w:proofErr w:type="spellEnd"/>
      <w:r w:rsidRPr="00E363F8">
        <w:rPr>
          <w:rFonts w:asciiTheme="majorHAnsi" w:hAnsiTheme="majorHAnsi" w:cstheme="majorHAnsi"/>
          <w:bCs/>
          <w:color w:val="231F20"/>
          <w:sz w:val="20"/>
          <w:szCs w:val="20"/>
        </w:rPr>
        <w:t xml:space="preserve"> </w:t>
      </w:r>
      <w:proofErr w:type="spellStart"/>
      <w:r w:rsidRPr="00E363F8">
        <w:rPr>
          <w:rFonts w:asciiTheme="majorHAnsi" w:hAnsiTheme="majorHAnsi" w:cstheme="majorHAnsi"/>
          <w:bCs/>
          <w:color w:val="231F20"/>
          <w:sz w:val="20"/>
          <w:szCs w:val="20"/>
        </w:rPr>
        <w:t>Nonsignificant</w:t>
      </w:r>
      <w:proofErr w:type="spellEnd"/>
      <w:r w:rsidRPr="00E363F8">
        <w:rPr>
          <w:rFonts w:asciiTheme="majorHAnsi" w:hAnsiTheme="majorHAnsi" w:cstheme="majorHAnsi"/>
          <w:bCs/>
          <w:color w:val="231F20"/>
          <w:sz w:val="20"/>
          <w:szCs w:val="20"/>
        </w:rPr>
        <w:t xml:space="preserve"> </w:t>
      </w:r>
      <w:proofErr w:type="spellStart"/>
      <w:r w:rsidRPr="00E363F8">
        <w:rPr>
          <w:rFonts w:asciiTheme="majorHAnsi" w:hAnsiTheme="majorHAnsi" w:cstheme="majorHAnsi"/>
          <w:bCs/>
          <w:color w:val="231F20"/>
          <w:sz w:val="20"/>
          <w:szCs w:val="20"/>
        </w:rPr>
        <w:t>Results</w:t>
      </w:r>
      <w:proofErr w:type="spellEnd"/>
      <w:r w:rsidR="00E363F8" w:rsidRPr="00E363F8">
        <w:rPr>
          <w:rFonts w:asciiTheme="majorHAnsi" w:hAnsiTheme="majorHAnsi" w:cstheme="majorHAnsi"/>
          <w:bCs/>
          <w:color w:val="231F20"/>
          <w:sz w:val="20"/>
          <w:szCs w:val="20"/>
        </w:rPr>
        <w:t xml:space="preserve"> </w:t>
      </w:r>
      <w:r w:rsidRPr="00E363F8">
        <w:rPr>
          <w:rFonts w:asciiTheme="majorHAnsi" w:hAnsiTheme="majorHAnsi" w:cstheme="majorHAnsi"/>
          <w:bCs/>
          <w:color w:val="231F20"/>
          <w:sz w:val="20"/>
          <w:szCs w:val="20"/>
        </w:rPr>
        <w:t xml:space="preserve">for </w:t>
      </w:r>
      <w:proofErr w:type="spellStart"/>
      <w:r w:rsidRPr="00E363F8">
        <w:rPr>
          <w:rFonts w:asciiTheme="majorHAnsi" w:hAnsiTheme="majorHAnsi" w:cstheme="majorHAnsi"/>
          <w:bCs/>
          <w:color w:val="231F20"/>
          <w:sz w:val="20"/>
          <w:szCs w:val="20"/>
        </w:rPr>
        <w:t>Primary</w:t>
      </w:r>
      <w:proofErr w:type="spellEnd"/>
      <w:r w:rsidRPr="00E363F8">
        <w:rPr>
          <w:rFonts w:asciiTheme="majorHAnsi" w:hAnsiTheme="majorHAnsi" w:cstheme="majorHAnsi"/>
          <w:bCs/>
          <w:color w:val="231F20"/>
          <w:sz w:val="20"/>
          <w:szCs w:val="20"/>
        </w:rPr>
        <w:t xml:space="preserve"> </w:t>
      </w:r>
      <w:proofErr w:type="spellStart"/>
      <w:r w:rsidRPr="00E363F8">
        <w:rPr>
          <w:rFonts w:asciiTheme="majorHAnsi" w:hAnsiTheme="majorHAnsi" w:cstheme="majorHAnsi"/>
          <w:bCs/>
          <w:color w:val="231F20"/>
          <w:sz w:val="20"/>
          <w:szCs w:val="20"/>
        </w:rPr>
        <w:t>Outcomes</w:t>
      </w:r>
      <w:proofErr w:type="spellEnd"/>
      <w:r w:rsidR="00E363F8" w:rsidRPr="00E363F8">
        <w:rPr>
          <w:rFonts w:asciiTheme="majorHAnsi" w:hAnsiTheme="majorHAnsi" w:cstheme="majorHAnsi"/>
          <w:bCs/>
          <w:color w:val="231F20"/>
          <w:sz w:val="20"/>
          <w:szCs w:val="20"/>
        </w:rPr>
        <w:t>. JAMA 2010</w:t>
      </w:r>
      <w:r w:rsidR="00E363F8">
        <w:rPr>
          <w:rFonts w:asciiTheme="majorHAnsi" w:hAnsiTheme="majorHAnsi" w:cstheme="majorHAnsi"/>
          <w:bCs/>
          <w:color w:val="231F20"/>
          <w:sz w:val="20"/>
          <w:szCs w:val="20"/>
        </w:rPr>
        <w:t>;303(20):2058-64</w:t>
      </w:r>
    </w:p>
    <w:p w:rsidR="00E363F8" w:rsidRPr="00CA4F2E" w:rsidRDefault="00E363F8" w:rsidP="00CA4F2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B28D2" w:rsidRPr="009F4B50" w:rsidRDefault="00E363F8" w:rsidP="008B28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sz w:val="20"/>
          <w:szCs w:val="20"/>
        </w:rPr>
        <w:t>2</w:t>
      </w:r>
      <w:r w:rsidR="008B28D2">
        <w:rPr>
          <w:sz w:val="20"/>
          <w:szCs w:val="20"/>
        </w:rPr>
        <w:t xml:space="preserve">. </w:t>
      </w:r>
      <w:proofErr w:type="spellStart"/>
      <w:r w:rsidR="008B28D2" w:rsidRPr="009F4B50">
        <w:rPr>
          <w:sz w:val="20"/>
          <w:szCs w:val="20"/>
        </w:rPr>
        <w:t>Yavchitz</w:t>
      </w:r>
      <w:proofErr w:type="spellEnd"/>
      <w:r w:rsidR="008B28D2" w:rsidRPr="009F4B50">
        <w:rPr>
          <w:sz w:val="20"/>
          <w:szCs w:val="20"/>
        </w:rPr>
        <w:t xml:space="preserve"> A, </w:t>
      </w:r>
      <w:proofErr w:type="spellStart"/>
      <w:r w:rsidR="008B28D2" w:rsidRPr="009F4B50">
        <w:rPr>
          <w:sz w:val="20"/>
          <w:szCs w:val="20"/>
        </w:rPr>
        <w:t>Ravaud</w:t>
      </w:r>
      <w:proofErr w:type="spellEnd"/>
      <w:r w:rsidR="008B28D2" w:rsidRPr="009F4B50">
        <w:rPr>
          <w:sz w:val="20"/>
          <w:szCs w:val="20"/>
        </w:rPr>
        <w:t xml:space="preserve"> P, Altman DG et al</w:t>
      </w:r>
      <w:r w:rsidR="008B28D2">
        <w:t xml:space="preserve">. </w:t>
      </w:r>
      <w:proofErr w:type="spellStart"/>
      <w:r w:rsidR="008B28D2" w:rsidRPr="009F4B50">
        <w:rPr>
          <w:rFonts w:cstheme="minorHAnsi"/>
          <w:color w:val="000000"/>
          <w:sz w:val="20"/>
          <w:szCs w:val="20"/>
        </w:rPr>
        <w:t>A</w:t>
      </w:r>
      <w:proofErr w:type="spellEnd"/>
      <w:r w:rsidR="008B28D2" w:rsidRPr="009F4B50">
        <w:rPr>
          <w:rFonts w:cstheme="minorHAnsi"/>
          <w:color w:val="000000"/>
          <w:sz w:val="20"/>
          <w:szCs w:val="20"/>
        </w:rPr>
        <w:t xml:space="preserve"> new classification of spin in </w:t>
      </w:r>
      <w:proofErr w:type="spellStart"/>
      <w:r w:rsidR="008B28D2" w:rsidRPr="009F4B50">
        <w:rPr>
          <w:rFonts w:cstheme="minorHAnsi"/>
          <w:color w:val="000000"/>
          <w:sz w:val="20"/>
          <w:szCs w:val="20"/>
        </w:rPr>
        <w:t>systematic</w:t>
      </w:r>
      <w:proofErr w:type="spellEnd"/>
      <w:r w:rsidR="008B28D2" w:rsidRPr="009F4B5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8B28D2" w:rsidRPr="009F4B50">
        <w:rPr>
          <w:rFonts w:cstheme="minorHAnsi"/>
          <w:color w:val="000000"/>
          <w:sz w:val="20"/>
          <w:szCs w:val="20"/>
        </w:rPr>
        <w:t>reviews</w:t>
      </w:r>
      <w:proofErr w:type="spellEnd"/>
      <w:r w:rsidR="008B28D2" w:rsidRPr="009F4B50">
        <w:rPr>
          <w:rFonts w:cstheme="minorHAnsi"/>
          <w:color w:val="000000"/>
          <w:sz w:val="20"/>
          <w:szCs w:val="20"/>
        </w:rPr>
        <w:t xml:space="preserve"> and </w:t>
      </w:r>
      <w:proofErr w:type="spellStart"/>
      <w:r w:rsidR="008B28D2" w:rsidRPr="009F4B50">
        <w:rPr>
          <w:rFonts w:cstheme="minorHAnsi"/>
          <w:color w:val="000000"/>
          <w:sz w:val="20"/>
          <w:szCs w:val="20"/>
        </w:rPr>
        <w:t>meta</w:t>
      </w:r>
      <w:proofErr w:type="spellEnd"/>
      <w:r w:rsidR="008B28D2" w:rsidRPr="009F4B50">
        <w:rPr>
          <w:rFonts w:cstheme="minorHAnsi"/>
          <w:color w:val="000000"/>
          <w:sz w:val="20"/>
          <w:szCs w:val="20"/>
        </w:rPr>
        <w:t>-analyses</w:t>
      </w:r>
    </w:p>
    <w:p w:rsidR="008B28D2" w:rsidRDefault="008B28D2" w:rsidP="008B28D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proofErr w:type="spellStart"/>
      <w:proofErr w:type="gramStart"/>
      <w:r w:rsidRPr="009F4B50">
        <w:rPr>
          <w:rFonts w:cstheme="minorHAnsi"/>
          <w:color w:val="000000"/>
          <w:sz w:val="20"/>
          <w:szCs w:val="20"/>
        </w:rPr>
        <w:t>was</w:t>
      </w:r>
      <w:proofErr w:type="spellEnd"/>
      <w:proofErr w:type="gramEnd"/>
      <w:r w:rsidRPr="009F4B5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9F4B50">
        <w:rPr>
          <w:rFonts w:cstheme="minorHAnsi"/>
          <w:color w:val="000000"/>
          <w:sz w:val="20"/>
          <w:szCs w:val="20"/>
        </w:rPr>
        <w:t>developed</w:t>
      </w:r>
      <w:proofErr w:type="spellEnd"/>
      <w:r w:rsidRPr="009F4B50">
        <w:rPr>
          <w:rFonts w:cstheme="minorHAnsi"/>
          <w:color w:val="000000"/>
          <w:sz w:val="20"/>
          <w:szCs w:val="20"/>
        </w:rPr>
        <w:t xml:space="preserve"> and </w:t>
      </w:r>
      <w:proofErr w:type="spellStart"/>
      <w:r w:rsidRPr="009F4B50">
        <w:rPr>
          <w:rFonts w:cstheme="minorHAnsi"/>
          <w:color w:val="000000"/>
          <w:sz w:val="20"/>
          <w:szCs w:val="20"/>
        </w:rPr>
        <w:t>ranked</w:t>
      </w:r>
      <w:proofErr w:type="spellEnd"/>
      <w:r w:rsidRPr="009F4B50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9F4B50">
        <w:rPr>
          <w:rFonts w:cstheme="minorHAnsi"/>
          <w:color w:val="000000"/>
          <w:sz w:val="20"/>
          <w:szCs w:val="20"/>
        </w:rPr>
        <w:t>according</w:t>
      </w:r>
      <w:proofErr w:type="spellEnd"/>
      <w:r w:rsidRPr="009F4B50">
        <w:rPr>
          <w:rFonts w:cstheme="minorHAnsi"/>
          <w:color w:val="000000"/>
          <w:sz w:val="20"/>
          <w:szCs w:val="20"/>
        </w:rPr>
        <w:t xml:space="preserve"> to the </w:t>
      </w:r>
      <w:proofErr w:type="spellStart"/>
      <w:r w:rsidRPr="009F4B50">
        <w:rPr>
          <w:rFonts w:cstheme="minorHAnsi"/>
          <w:color w:val="000000"/>
          <w:sz w:val="20"/>
          <w:szCs w:val="20"/>
        </w:rPr>
        <w:t>severity</w:t>
      </w:r>
      <w:proofErr w:type="spellEnd"/>
      <w:r>
        <w:rPr>
          <w:rFonts w:cstheme="minorHAnsi"/>
          <w:color w:val="000000"/>
          <w:sz w:val="20"/>
          <w:szCs w:val="20"/>
        </w:rPr>
        <w:t xml:space="preserve">. </w:t>
      </w:r>
      <w:r w:rsidRPr="00116FEB">
        <w:rPr>
          <w:rFonts w:cstheme="minorHAnsi"/>
          <w:i/>
          <w:color w:val="000000"/>
          <w:sz w:val="20"/>
          <w:szCs w:val="20"/>
        </w:rPr>
        <w:t xml:space="preserve">J Clin </w:t>
      </w:r>
      <w:proofErr w:type="spellStart"/>
      <w:r w:rsidRPr="00116FEB">
        <w:rPr>
          <w:rFonts w:cstheme="minorHAnsi"/>
          <w:i/>
          <w:color w:val="000000"/>
          <w:sz w:val="20"/>
          <w:szCs w:val="20"/>
        </w:rPr>
        <w:t>Epidemiol</w:t>
      </w:r>
      <w:proofErr w:type="spellEnd"/>
      <w:r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shd w:val="clear" w:color="auto" w:fill="FFFFFF"/>
        </w:rPr>
        <w:t>2016</w:t>
      </w:r>
      <w:r w:rsidRPr="009F4B50">
        <w:rPr>
          <w:rFonts w:cstheme="minorHAnsi"/>
          <w:sz w:val="20"/>
          <w:szCs w:val="20"/>
          <w:shd w:val="clear" w:color="auto" w:fill="FFFFFF"/>
        </w:rPr>
        <w:t>;75:56-65</w:t>
      </w:r>
    </w:p>
    <w:p w:rsidR="008B28D2" w:rsidRDefault="008B28D2" w:rsidP="008B28D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</w:p>
    <w:p w:rsidR="008B28D2" w:rsidRPr="00116FEB" w:rsidRDefault="00E363F8" w:rsidP="00116FE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  <w:shd w:val="clear" w:color="auto" w:fill="FFFFFF"/>
        </w:rPr>
        <w:t>3</w:t>
      </w:r>
      <w:r w:rsidR="008B28D2">
        <w:rPr>
          <w:rFonts w:cstheme="minorHAnsi"/>
          <w:sz w:val="20"/>
          <w:szCs w:val="20"/>
          <w:shd w:val="clear" w:color="auto" w:fill="FFFFFF"/>
        </w:rPr>
        <w:t xml:space="preserve">. </w:t>
      </w:r>
      <w:proofErr w:type="spellStart"/>
      <w:r w:rsidR="00116FEB">
        <w:rPr>
          <w:rFonts w:ascii="New-Baskerville-RomanA" w:hAnsi="New-Baskerville-RomanA" w:cs="New-Baskerville-RomanA"/>
          <w:color w:val="292526"/>
          <w:sz w:val="18"/>
          <w:szCs w:val="18"/>
        </w:rPr>
        <w:t>Montori</w:t>
      </w:r>
      <w:proofErr w:type="spellEnd"/>
      <w:r w:rsidR="00116FEB">
        <w:rPr>
          <w:rFonts w:ascii="New-Baskerville-RomanA" w:hAnsi="New-Baskerville-RomanA" w:cs="New-Baskerville-RomanA"/>
          <w:color w:val="292526"/>
          <w:sz w:val="18"/>
          <w:szCs w:val="18"/>
        </w:rPr>
        <w:t xml:space="preserve"> VM, </w:t>
      </w:r>
      <w:proofErr w:type="spellStart"/>
      <w:r w:rsidR="00116FEB">
        <w:rPr>
          <w:rFonts w:ascii="New-Baskerville-RomanA" w:hAnsi="New-Baskerville-RomanA" w:cs="New-Baskerville-RomanA"/>
          <w:color w:val="292526"/>
          <w:sz w:val="18"/>
          <w:szCs w:val="18"/>
        </w:rPr>
        <w:t>Permanyer-Miralda</w:t>
      </w:r>
      <w:proofErr w:type="spellEnd"/>
      <w:r w:rsidR="00116FEB">
        <w:rPr>
          <w:rFonts w:ascii="New-Baskerville-RomanA" w:hAnsi="New-Baskerville-RomanA" w:cs="New-Baskerville-RomanA"/>
          <w:color w:val="292526"/>
          <w:sz w:val="18"/>
          <w:szCs w:val="18"/>
        </w:rPr>
        <w:t xml:space="preserve"> G, Ferreira-González I et al. </w:t>
      </w:r>
      <w:proofErr w:type="spellStart"/>
      <w:r w:rsidR="00116FEB" w:rsidRPr="00116FEB">
        <w:rPr>
          <w:rFonts w:cstheme="minorHAnsi"/>
          <w:bCs/>
          <w:color w:val="292526"/>
          <w:sz w:val="20"/>
          <w:szCs w:val="20"/>
        </w:rPr>
        <w:t>Validity</w:t>
      </w:r>
      <w:proofErr w:type="spellEnd"/>
      <w:r w:rsidR="00116FEB" w:rsidRPr="00116FEB">
        <w:rPr>
          <w:rFonts w:cstheme="minorHAnsi"/>
          <w:bCs/>
          <w:color w:val="292526"/>
          <w:sz w:val="20"/>
          <w:szCs w:val="20"/>
        </w:rPr>
        <w:t xml:space="preserve"> of composite end points in </w:t>
      </w:r>
      <w:proofErr w:type="spellStart"/>
      <w:r w:rsidR="00116FEB" w:rsidRPr="00116FEB">
        <w:rPr>
          <w:rFonts w:cstheme="minorHAnsi"/>
          <w:bCs/>
          <w:color w:val="292526"/>
          <w:sz w:val="20"/>
          <w:szCs w:val="20"/>
        </w:rPr>
        <w:t>clinical</w:t>
      </w:r>
      <w:proofErr w:type="spellEnd"/>
      <w:r w:rsidR="00116FEB" w:rsidRPr="00116FEB">
        <w:rPr>
          <w:rFonts w:cstheme="minorHAnsi"/>
          <w:bCs/>
          <w:color w:val="292526"/>
          <w:sz w:val="20"/>
          <w:szCs w:val="20"/>
        </w:rPr>
        <w:t xml:space="preserve"> trials</w:t>
      </w:r>
      <w:r w:rsidR="00116FEB">
        <w:rPr>
          <w:rFonts w:cstheme="minorHAnsi"/>
          <w:bCs/>
          <w:color w:val="292526"/>
          <w:sz w:val="20"/>
          <w:szCs w:val="20"/>
        </w:rPr>
        <w:t xml:space="preserve">. </w:t>
      </w:r>
      <w:r w:rsidR="00116FEB" w:rsidRPr="00116FEB">
        <w:rPr>
          <w:rFonts w:cstheme="minorHAnsi"/>
          <w:i/>
          <w:iCs/>
          <w:color w:val="292526"/>
          <w:sz w:val="20"/>
          <w:szCs w:val="20"/>
        </w:rPr>
        <w:t xml:space="preserve">BMJ </w:t>
      </w:r>
      <w:r w:rsidR="00116FEB" w:rsidRPr="00116FEB">
        <w:rPr>
          <w:rFonts w:cstheme="minorHAnsi"/>
          <w:color w:val="292526"/>
          <w:sz w:val="20"/>
          <w:szCs w:val="20"/>
        </w:rPr>
        <w:t>2005;330:594–6</w:t>
      </w:r>
      <w:r w:rsidR="00116FEB">
        <w:rPr>
          <w:rFonts w:cstheme="minorHAnsi"/>
          <w:color w:val="292526"/>
          <w:sz w:val="20"/>
          <w:szCs w:val="20"/>
        </w:rPr>
        <w:t>.</w:t>
      </w:r>
    </w:p>
    <w:p w:rsidR="00DD5433" w:rsidRPr="00DD5433" w:rsidRDefault="00E363F8" w:rsidP="00A70658">
      <w:pPr>
        <w:pStyle w:val="Titre1"/>
        <w:spacing w:before="120" w:line="240" w:lineRule="auto"/>
        <w:rPr>
          <w:rFonts w:asciiTheme="minorHAnsi" w:eastAsia="Times New Roman" w:hAnsiTheme="minorHAnsi" w:cstheme="minorHAnsi"/>
          <w:color w:val="333333"/>
          <w:sz w:val="20"/>
          <w:szCs w:val="20"/>
          <w:lang w:eastAsia="fr-BE"/>
        </w:rPr>
      </w:pPr>
      <w:r>
        <w:rPr>
          <w:color w:val="auto"/>
          <w:sz w:val="20"/>
          <w:szCs w:val="20"/>
          <w:lang w:val="fr-FR"/>
        </w:rPr>
        <w:t>4</w:t>
      </w:r>
      <w:r w:rsidR="00DD5433" w:rsidRPr="00DD5433">
        <w:rPr>
          <w:color w:val="auto"/>
          <w:sz w:val="20"/>
          <w:szCs w:val="20"/>
          <w:lang w:val="fr-FR"/>
        </w:rPr>
        <w:t>.</w:t>
      </w:r>
      <w:r w:rsidR="00DD5433">
        <w:rPr>
          <w:lang w:val="fr-FR"/>
        </w:rPr>
        <w:t xml:space="preserve"> </w:t>
      </w:r>
      <w:r w:rsidR="00DD5433" w:rsidRPr="00DD5433">
        <w:rPr>
          <w:rFonts w:asciiTheme="minorHAnsi" w:hAnsiTheme="minorHAnsi" w:cstheme="minorHAnsi"/>
          <w:color w:val="333333"/>
          <w:sz w:val="20"/>
          <w:szCs w:val="20"/>
        </w:rPr>
        <w:t>Higgins JPT, Thomas J, Chandler J</w:t>
      </w:r>
      <w:r w:rsidR="00DD5433" w:rsidRPr="00DD5433">
        <w:rPr>
          <w:rFonts w:asciiTheme="minorHAnsi" w:eastAsia="Times New Roman" w:hAnsiTheme="minorHAnsi" w:cstheme="minorHAnsi"/>
          <w:bCs/>
          <w:color w:val="1E3262"/>
          <w:spacing w:val="-5"/>
          <w:kern w:val="36"/>
          <w:sz w:val="20"/>
          <w:szCs w:val="20"/>
          <w:lang w:eastAsia="fr-BE"/>
        </w:rPr>
        <w:t xml:space="preserve"> </w:t>
      </w:r>
      <w:r w:rsidR="00DD5433">
        <w:rPr>
          <w:rFonts w:asciiTheme="minorHAnsi" w:eastAsia="Times New Roman" w:hAnsiTheme="minorHAnsi" w:cstheme="minorHAnsi"/>
          <w:bCs/>
          <w:color w:val="1E3262"/>
          <w:spacing w:val="-5"/>
          <w:kern w:val="36"/>
          <w:sz w:val="20"/>
          <w:szCs w:val="20"/>
          <w:lang w:eastAsia="fr-BE"/>
        </w:rPr>
        <w:t xml:space="preserve">et al. </w:t>
      </w:r>
      <w:r w:rsidR="00DD5433" w:rsidRPr="00DD5433">
        <w:rPr>
          <w:rFonts w:asciiTheme="minorHAnsi" w:eastAsia="Times New Roman" w:hAnsiTheme="minorHAnsi" w:cstheme="minorHAnsi"/>
          <w:bCs/>
          <w:color w:val="1E3262"/>
          <w:spacing w:val="-5"/>
          <w:kern w:val="36"/>
          <w:sz w:val="20"/>
          <w:szCs w:val="20"/>
          <w:lang w:eastAsia="fr-BE"/>
        </w:rPr>
        <w:t xml:space="preserve">Cochrane </w:t>
      </w:r>
      <w:proofErr w:type="spellStart"/>
      <w:r w:rsidR="00DD5433" w:rsidRPr="00DD5433">
        <w:rPr>
          <w:rFonts w:asciiTheme="minorHAnsi" w:eastAsia="Times New Roman" w:hAnsiTheme="minorHAnsi" w:cstheme="minorHAnsi"/>
          <w:bCs/>
          <w:color w:val="1E3262"/>
          <w:spacing w:val="-5"/>
          <w:kern w:val="36"/>
          <w:sz w:val="20"/>
          <w:szCs w:val="20"/>
          <w:lang w:eastAsia="fr-BE"/>
        </w:rPr>
        <w:t>Handbook</w:t>
      </w:r>
      <w:proofErr w:type="spellEnd"/>
      <w:r w:rsidR="00DD5433" w:rsidRPr="00DD5433">
        <w:rPr>
          <w:rFonts w:asciiTheme="minorHAnsi" w:eastAsia="Times New Roman" w:hAnsiTheme="minorHAnsi" w:cstheme="minorHAnsi"/>
          <w:bCs/>
          <w:color w:val="1E3262"/>
          <w:spacing w:val="-5"/>
          <w:kern w:val="36"/>
          <w:sz w:val="20"/>
          <w:szCs w:val="20"/>
          <w:lang w:eastAsia="fr-BE"/>
        </w:rPr>
        <w:t xml:space="preserve"> for </w:t>
      </w:r>
      <w:proofErr w:type="spellStart"/>
      <w:r w:rsidR="00DD5433" w:rsidRPr="00DD5433">
        <w:rPr>
          <w:rFonts w:asciiTheme="minorHAnsi" w:eastAsia="Times New Roman" w:hAnsiTheme="minorHAnsi" w:cstheme="minorHAnsi"/>
          <w:bCs/>
          <w:color w:val="1E3262"/>
          <w:spacing w:val="-5"/>
          <w:kern w:val="36"/>
          <w:sz w:val="20"/>
          <w:szCs w:val="20"/>
          <w:lang w:eastAsia="fr-BE"/>
        </w:rPr>
        <w:t>Systematic</w:t>
      </w:r>
      <w:proofErr w:type="spellEnd"/>
      <w:r w:rsidR="00DD5433" w:rsidRPr="00DD5433">
        <w:rPr>
          <w:rFonts w:asciiTheme="minorHAnsi" w:eastAsia="Times New Roman" w:hAnsiTheme="minorHAnsi" w:cstheme="minorHAnsi"/>
          <w:bCs/>
          <w:color w:val="1E3262"/>
          <w:spacing w:val="-5"/>
          <w:kern w:val="36"/>
          <w:sz w:val="20"/>
          <w:szCs w:val="20"/>
          <w:lang w:eastAsia="fr-BE"/>
        </w:rPr>
        <w:t xml:space="preserve"> </w:t>
      </w:r>
      <w:proofErr w:type="spellStart"/>
      <w:r w:rsidR="00DD5433" w:rsidRPr="00DD5433">
        <w:rPr>
          <w:rFonts w:asciiTheme="minorHAnsi" w:eastAsia="Times New Roman" w:hAnsiTheme="minorHAnsi" w:cstheme="minorHAnsi"/>
          <w:bCs/>
          <w:color w:val="1E3262"/>
          <w:spacing w:val="-5"/>
          <w:kern w:val="36"/>
          <w:sz w:val="20"/>
          <w:szCs w:val="20"/>
          <w:lang w:eastAsia="fr-BE"/>
        </w:rPr>
        <w:t>Reviews</w:t>
      </w:r>
      <w:proofErr w:type="spellEnd"/>
      <w:r w:rsidR="00DD5433" w:rsidRPr="00DD5433">
        <w:rPr>
          <w:rFonts w:asciiTheme="minorHAnsi" w:eastAsia="Times New Roman" w:hAnsiTheme="minorHAnsi" w:cstheme="minorHAnsi"/>
          <w:bCs/>
          <w:color w:val="1E3262"/>
          <w:spacing w:val="-5"/>
          <w:kern w:val="36"/>
          <w:sz w:val="20"/>
          <w:szCs w:val="20"/>
          <w:lang w:eastAsia="fr-BE"/>
        </w:rPr>
        <w:t xml:space="preserve"> of Interventions</w:t>
      </w:r>
      <w:r w:rsidR="00DD5433">
        <w:rPr>
          <w:rFonts w:asciiTheme="minorHAnsi" w:eastAsia="Times New Roman" w:hAnsiTheme="minorHAnsi" w:cstheme="minorHAnsi"/>
          <w:bCs/>
          <w:color w:val="1E3262"/>
          <w:spacing w:val="-5"/>
          <w:kern w:val="36"/>
          <w:sz w:val="20"/>
          <w:szCs w:val="20"/>
          <w:lang w:eastAsia="fr-BE"/>
        </w:rPr>
        <w:t xml:space="preserve">, </w:t>
      </w:r>
      <w:r w:rsidR="00DD5433" w:rsidRPr="00DD5433">
        <w:rPr>
          <w:rFonts w:asciiTheme="minorHAnsi" w:eastAsia="Times New Roman" w:hAnsiTheme="minorHAnsi" w:cstheme="minorHAnsi"/>
          <w:color w:val="333333"/>
          <w:sz w:val="20"/>
          <w:szCs w:val="20"/>
          <w:lang w:eastAsia="fr-BE"/>
        </w:rPr>
        <w:t>Version 6.1</w:t>
      </w:r>
      <w:r w:rsidR="00DD5433">
        <w:rPr>
          <w:rFonts w:asciiTheme="minorHAnsi" w:eastAsia="Times New Roman" w:hAnsiTheme="minorHAnsi" w:cstheme="minorHAnsi"/>
          <w:color w:val="333333"/>
          <w:sz w:val="20"/>
          <w:szCs w:val="20"/>
          <w:lang w:eastAsia="fr-BE"/>
        </w:rPr>
        <w:t xml:space="preserve">.  </w:t>
      </w:r>
      <w:hyperlink r:id="rId8" w:history="1">
        <w:r w:rsidR="00D95CA1" w:rsidRPr="00E606CD">
          <w:rPr>
            <w:rStyle w:val="Lienhypertexte"/>
            <w:rFonts w:asciiTheme="minorHAnsi" w:hAnsiTheme="minorHAnsi" w:cstheme="minorHAnsi"/>
            <w:sz w:val="20"/>
            <w:szCs w:val="20"/>
          </w:rPr>
          <w:t>www.training.cochrane.org/handbook</w:t>
        </w:r>
      </w:hyperlink>
      <w:r w:rsidR="00DD5433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DD5433">
        <w:rPr>
          <w:rFonts w:asciiTheme="minorHAnsi" w:eastAsia="Times New Roman" w:hAnsiTheme="minorHAnsi" w:cstheme="minorHAnsi"/>
          <w:color w:val="333333"/>
          <w:sz w:val="20"/>
          <w:szCs w:val="20"/>
          <w:lang w:eastAsia="fr-BE"/>
        </w:rPr>
        <w:t xml:space="preserve"> Section 8.4.4</w:t>
      </w:r>
    </w:p>
    <w:p w:rsidR="00DD5433" w:rsidRDefault="00DD5433" w:rsidP="0035572E">
      <w:pPr>
        <w:jc w:val="both"/>
        <w:rPr>
          <w:lang w:val="fr-FR"/>
        </w:rPr>
      </w:pPr>
    </w:p>
    <w:p w:rsidR="00EB59F6" w:rsidRPr="00BC07BF" w:rsidRDefault="00EB59F6" w:rsidP="0035572E">
      <w:pPr>
        <w:jc w:val="both"/>
        <w:rPr>
          <w:lang w:val="fr-FR"/>
        </w:rPr>
      </w:pPr>
    </w:p>
    <w:sectPr w:rsidR="00EB59F6" w:rsidRPr="00BC07BF" w:rsidSect="0005434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404" w:rsidRDefault="00607404" w:rsidP="000E076B">
      <w:pPr>
        <w:spacing w:after="0" w:line="240" w:lineRule="auto"/>
      </w:pPr>
      <w:r>
        <w:separator/>
      </w:r>
    </w:p>
  </w:endnote>
  <w:endnote w:type="continuationSeparator" w:id="0">
    <w:p w:rsidR="00607404" w:rsidRDefault="00607404" w:rsidP="000E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-Baskerville-Roman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404" w:rsidRDefault="00607404" w:rsidP="000E076B">
      <w:pPr>
        <w:spacing w:after="0" w:line="240" w:lineRule="auto"/>
      </w:pPr>
      <w:r>
        <w:separator/>
      </w:r>
    </w:p>
  </w:footnote>
  <w:footnote w:type="continuationSeparator" w:id="0">
    <w:p w:rsidR="00607404" w:rsidRDefault="00607404" w:rsidP="000E076B">
      <w:pPr>
        <w:spacing w:after="0" w:line="240" w:lineRule="auto"/>
      </w:pPr>
      <w:r>
        <w:continuationSeparator/>
      </w:r>
    </w:p>
  </w:footnote>
  <w:footnote w:id="1">
    <w:p w:rsidR="006B60CE" w:rsidRPr="000E076B" w:rsidRDefault="006B60CE" w:rsidP="006B60CE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En utilisant le calculateur online E</w:t>
      </w:r>
      <w:r w:rsidR="00116FEB">
        <w:rPr>
          <w:lang w:val="fr-FR"/>
        </w:rPr>
        <w:t>BM T</w:t>
      </w:r>
      <w:r>
        <w:rPr>
          <w:lang w:val="fr-FR"/>
        </w:rPr>
        <w:t>ools (</w:t>
      </w:r>
      <w:hyperlink r:id="rId1" w:history="1">
        <w:r w:rsidRPr="00E606CD">
          <w:rPr>
            <w:rStyle w:val="Lienhypertexte"/>
            <w:lang w:val="fr-FR"/>
          </w:rPr>
          <w:t>www.ebm-tools.knowledgetranslation.net/calculator</w:t>
        </w:r>
      </w:hyperlink>
      <w:r>
        <w:rPr>
          <w:lang w:val="fr-FR"/>
        </w:rPr>
        <w:t xml:space="preserve"> ) on obtient les mêmes valeurs pour les OR et leur IC 95% mais avec p = 0.049 au lieu de 0.04 et p = 0.09</w:t>
      </w:r>
      <w:r w:rsidR="008A7AEB">
        <w:rPr>
          <w:lang w:val="fr-FR"/>
        </w:rPr>
        <w:t>3</w:t>
      </w:r>
      <w:r>
        <w:rPr>
          <w:lang w:val="fr-FR"/>
        </w:rPr>
        <w:t xml:space="preserve"> au lieu de 0.08</w:t>
      </w:r>
    </w:p>
    <w:p w:rsidR="006B60CE" w:rsidRPr="006B60CE" w:rsidRDefault="006B60CE">
      <w:pPr>
        <w:pStyle w:val="Notedebasdepage"/>
        <w:rPr>
          <w:lang w:val="fr-FR"/>
        </w:rPr>
      </w:pPr>
    </w:p>
  </w:footnote>
  <w:footnote w:id="2">
    <w:p w:rsidR="00D9457A" w:rsidRPr="00D9457A" w:rsidRDefault="00D9457A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hyperlink r:id="rId2" w:history="1">
        <w:r w:rsidR="008B28D2" w:rsidRPr="00E606CD">
          <w:rPr>
            <w:rStyle w:val="Lienhypertexte"/>
          </w:rPr>
          <w:t>www.colcorona.net</w:t>
        </w:r>
      </w:hyperlink>
      <w:r w:rsidR="008B28D2">
        <w:t>, FAQ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5698"/>
    <w:multiLevelType w:val="hybridMultilevel"/>
    <w:tmpl w:val="A894B0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14C3D"/>
    <w:multiLevelType w:val="hybridMultilevel"/>
    <w:tmpl w:val="0400AE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10A4F"/>
    <w:multiLevelType w:val="hybridMultilevel"/>
    <w:tmpl w:val="71AC56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BF"/>
    <w:rsid w:val="00013261"/>
    <w:rsid w:val="000310D1"/>
    <w:rsid w:val="00046821"/>
    <w:rsid w:val="000506B1"/>
    <w:rsid w:val="00054346"/>
    <w:rsid w:val="000609DC"/>
    <w:rsid w:val="000844C1"/>
    <w:rsid w:val="000A79C8"/>
    <w:rsid w:val="000E076B"/>
    <w:rsid w:val="001000C1"/>
    <w:rsid w:val="00104237"/>
    <w:rsid w:val="00112894"/>
    <w:rsid w:val="00116FEB"/>
    <w:rsid w:val="00170821"/>
    <w:rsid w:val="001F5809"/>
    <w:rsid w:val="002063AC"/>
    <w:rsid w:val="0021291F"/>
    <w:rsid w:val="002148D1"/>
    <w:rsid w:val="00222256"/>
    <w:rsid w:val="00232AFF"/>
    <w:rsid w:val="002374B0"/>
    <w:rsid w:val="00240428"/>
    <w:rsid w:val="0025781B"/>
    <w:rsid w:val="00270BAD"/>
    <w:rsid w:val="002762E9"/>
    <w:rsid w:val="002C77A9"/>
    <w:rsid w:val="0035572E"/>
    <w:rsid w:val="0037282B"/>
    <w:rsid w:val="003833D4"/>
    <w:rsid w:val="00392150"/>
    <w:rsid w:val="00392DF5"/>
    <w:rsid w:val="003C7E77"/>
    <w:rsid w:val="004020C0"/>
    <w:rsid w:val="00431184"/>
    <w:rsid w:val="0044769B"/>
    <w:rsid w:val="00455387"/>
    <w:rsid w:val="004659E0"/>
    <w:rsid w:val="004835F4"/>
    <w:rsid w:val="00490D06"/>
    <w:rsid w:val="004F3418"/>
    <w:rsid w:val="005040BF"/>
    <w:rsid w:val="00511983"/>
    <w:rsid w:val="005424CC"/>
    <w:rsid w:val="005441FE"/>
    <w:rsid w:val="0056124E"/>
    <w:rsid w:val="005613A0"/>
    <w:rsid w:val="00605877"/>
    <w:rsid w:val="00607404"/>
    <w:rsid w:val="006652E8"/>
    <w:rsid w:val="006832FC"/>
    <w:rsid w:val="006A629A"/>
    <w:rsid w:val="006B15A9"/>
    <w:rsid w:val="006B60CE"/>
    <w:rsid w:val="006C1897"/>
    <w:rsid w:val="006D6C3E"/>
    <w:rsid w:val="00736123"/>
    <w:rsid w:val="00765898"/>
    <w:rsid w:val="007D0B90"/>
    <w:rsid w:val="007E63EC"/>
    <w:rsid w:val="00820412"/>
    <w:rsid w:val="00834F5D"/>
    <w:rsid w:val="008418BE"/>
    <w:rsid w:val="008A7AEB"/>
    <w:rsid w:val="008B0B21"/>
    <w:rsid w:val="008B28D2"/>
    <w:rsid w:val="008E79DE"/>
    <w:rsid w:val="00902AC5"/>
    <w:rsid w:val="0091653A"/>
    <w:rsid w:val="009208E1"/>
    <w:rsid w:val="00921648"/>
    <w:rsid w:val="00927AAD"/>
    <w:rsid w:val="0095666F"/>
    <w:rsid w:val="00991F2D"/>
    <w:rsid w:val="009F4970"/>
    <w:rsid w:val="009F4B50"/>
    <w:rsid w:val="00A0778B"/>
    <w:rsid w:val="00A14FCB"/>
    <w:rsid w:val="00A32061"/>
    <w:rsid w:val="00A43F17"/>
    <w:rsid w:val="00A70658"/>
    <w:rsid w:val="00A73539"/>
    <w:rsid w:val="00A93EC3"/>
    <w:rsid w:val="00AA1BBF"/>
    <w:rsid w:val="00AF1177"/>
    <w:rsid w:val="00B60419"/>
    <w:rsid w:val="00B775F0"/>
    <w:rsid w:val="00BA1DE6"/>
    <w:rsid w:val="00BC07BF"/>
    <w:rsid w:val="00C61EE2"/>
    <w:rsid w:val="00C64E1B"/>
    <w:rsid w:val="00C90852"/>
    <w:rsid w:val="00C95C9B"/>
    <w:rsid w:val="00C96854"/>
    <w:rsid w:val="00CA4F2E"/>
    <w:rsid w:val="00CF2BA7"/>
    <w:rsid w:val="00CF57DD"/>
    <w:rsid w:val="00D1307C"/>
    <w:rsid w:val="00D13A64"/>
    <w:rsid w:val="00D37A6F"/>
    <w:rsid w:val="00D4599C"/>
    <w:rsid w:val="00D6578B"/>
    <w:rsid w:val="00D9457A"/>
    <w:rsid w:val="00D95CA1"/>
    <w:rsid w:val="00DA5E8F"/>
    <w:rsid w:val="00DB1C0E"/>
    <w:rsid w:val="00DC41B3"/>
    <w:rsid w:val="00DC7308"/>
    <w:rsid w:val="00DD5433"/>
    <w:rsid w:val="00DF0815"/>
    <w:rsid w:val="00DF774E"/>
    <w:rsid w:val="00E3365D"/>
    <w:rsid w:val="00E3582E"/>
    <w:rsid w:val="00E363F8"/>
    <w:rsid w:val="00EB23E2"/>
    <w:rsid w:val="00EB59F6"/>
    <w:rsid w:val="00F14FB9"/>
    <w:rsid w:val="00FC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4A055-463A-4E72-B2CE-B069AD78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D54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C41B3"/>
    <w:pPr>
      <w:ind w:left="720"/>
      <w:contextualSpacing/>
    </w:pPr>
  </w:style>
  <w:style w:type="paragraph" w:customStyle="1" w:styleId="Default">
    <w:name w:val="Default"/>
    <w:rsid w:val="008E7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E076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E07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E076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B60CE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D54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6700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ining.cochrane.org/handbo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corona.net" TargetMode="External"/><Relationship Id="rId1" Type="http://schemas.openxmlformats.org/officeDocument/2006/relationships/hyperlink" Target="http://www.ebm-tools.knowledgetranslation.net/calculato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748A-0AA7-4EEB-86C2-7F44C94B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1556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baudouin denis</dc:creator>
  <cp:keywords/>
  <dc:description/>
  <cp:lastModifiedBy>baudouin denis</cp:lastModifiedBy>
  <cp:revision>8</cp:revision>
  <dcterms:created xsi:type="dcterms:W3CDTF">2021-02-03T17:17:00Z</dcterms:created>
  <dcterms:modified xsi:type="dcterms:W3CDTF">2021-02-04T10:19:00Z</dcterms:modified>
</cp:coreProperties>
</file>